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E7" w:rsidRDefault="002679E7" w:rsidP="006A67A1">
      <w:pPr>
        <w:rPr>
          <w:rFonts w:ascii="Georgia" w:hAnsi="Georgia" w:cs="Arial"/>
          <w:color w:val="222222"/>
          <w:sz w:val="24"/>
          <w:szCs w:val="24"/>
          <w:lang w:val="en-US"/>
        </w:rPr>
      </w:pPr>
      <w:bookmarkStart w:id="0" w:name="_GoBack"/>
      <w:bookmarkEnd w:id="0"/>
      <w:r>
        <w:rPr>
          <w:rFonts w:ascii="Georgia" w:hAnsi="Georgia" w:cs="Arial"/>
          <w:color w:val="222222"/>
          <w:sz w:val="24"/>
          <w:szCs w:val="24"/>
          <w:lang w:val="en-US"/>
        </w:rPr>
        <w:t>The</w:t>
      </w:r>
      <w:r w:rsidR="00E14517" w:rsidRPr="002679E7">
        <w:rPr>
          <w:rFonts w:ascii="Georgia" w:hAnsi="Georgia" w:cs="Arial"/>
          <w:color w:val="222222"/>
          <w:sz w:val="24"/>
          <w:szCs w:val="24"/>
          <w:lang w:val="en-US"/>
        </w:rPr>
        <w:t xml:space="preserve"> sixth community pharmacy agreement </w:t>
      </w:r>
      <w:r w:rsidR="00820046" w:rsidRPr="002679E7">
        <w:rPr>
          <w:rFonts w:ascii="Georgia" w:hAnsi="Georgia" w:cs="Arial"/>
          <w:color w:val="222222"/>
          <w:sz w:val="24"/>
          <w:szCs w:val="24"/>
          <w:lang w:val="en-US"/>
        </w:rPr>
        <w:t xml:space="preserve">(6CPA) </w:t>
      </w:r>
      <w:r>
        <w:rPr>
          <w:rFonts w:ascii="Georgia" w:hAnsi="Georgia" w:cs="Arial"/>
          <w:color w:val="222222"/>
          <w:sz w:val="24"/>
          <w:szCs w:val="24"/>
          <w:lang w:val="en-US"/>
        </w:rPr>
        <w:t>has been signed and came into effect on 1 July. While, at the time of writing, not all of the details were known, enough was known to realise that the 6CPA would present an entirely new set of cobblestones that would challenge the ‘traditional’ model of community pharmacy.</w:t>
      </w:r>
    </w:p>
    <w:p w:rsidR="002679E7" w:rsidRDefault="00856D88" w:rsidP="006A67A1">
      <w:pPr>
        <w:rPr>
          <w:rFonts w:ascii="Georgia" w:hAnsi="Georgia" w:cs="Arial"/>
          <w:color w:val="222222"/>
          <w:sz w:val="24"/>
          <w:szCs w:val="24"/>
          <w:lang w:val="en-US"/>
        </w:rPr>
      </w:pPr>
      <w:r w:rsidRPr="002679E7">
        <w:rPr>
          <w:rFonts w:ascii="Georgia" w:hAnsi="Georgia" w:cs="Arial"/>
          <w:color w:val="222222"/>
          <w:sz w:val="24"/>
          <w:szCs w:val="24"/>
          <w:lang w:val="en-US"/>
        </w:rPr>
        <w:t xml:space="preserve">Under 6CPA the rules of engagement will be different </w:t>
      </w:r>
      <w:r w:rsidR="002679E7">
        <w:rPr>
          <w:rFonts w:ascii="Georgia" w:hAnsi="Georgia" w:cs="Arial"/>
          <w:color w:val="222222"/>
          <w:sz w:val="24"/>
          <w:szCs w:val="24"/>
          <w:lang w:val="en-US"/>
        </w:rPr>
        <w:t>to those of the recent past where</w:t>
      </w:r>
      <w:r w:rsidRPr="002679E7">
        <w:rPr>
          <w:rFonts w:ascii="Georgia" w:hAnsi="Georgia" w:cs="Arial"/>
          <w:color w:val="222222"/>
          <w:sz w:val="24"/>
          <w:szCs w:val="24"/>
          <w:lang w:val="en-US"/>
        </w:rPr>
        <w:t xml:space="preserve"> </w:t>
      </w:r>
      <w:r w:rsidR="002679E7">
        <w:rPr>
          <w:rFonts w:ascii="Georgia" w:hAnsi="Georgia" w:cs="Arial"/>
          <w:color w:val="222222"/>
          <w:sz w:val="24"/>
          <w:szCs w:val="24"/>
          <w:lang w:val="en-US"/>
        </w:rPr>
        <w:t>pharmacy</w:t>
      </w:r>
      <w:r w:rsidRPr="002679E7">
        <w:rPr>
          <w:rFonts w:ascii="Georgia" w:hAnsi="Georgia" w:cs="Arial"/>
          <w:color w:val="222222"/>
          <w:sz w:val="24"/>
          <w:szCs w:val="24"/>
          <w:lang w:val="en-US"/>
        </w:rPr>
        <w:t xml:space="preserve"> only had to substitute generics, minimize net into store </w:t>
      </w:r>
      <w:r w:rsidR="002679E7">
        <w:rPr>
          <w:rFonts w:ascii="Georgia" w:hAnsi="Georgia" w:cs="Arial"/>
          <w:color w:val="222222"/>
          <w:sz w:val="24"/>
          <w:szCs w:val="24"/>
          <w:lang w:val="en-US"/>
        </w:rPr>
        <w:t>purchase</w:t>
      </w:r>
      <w:r w:rsidRPr="002679E7">
        <w:rPr>
          <w:rFonts w:ascii="Georgia" w:hAnsi="Georgia" w:cs="Arial"/>
          <w:color w:val="222222"/>
          <w:sz w:val="24"/>
          <w:szCs w:val="24"/>
          <w:lang w:val="en-US"/>
        </w:rPr>
        <w:t xml:space="preserve"> costs and keep the overheads down. There is no doubt</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given the </w:t>
      </w:r>
      <w:r w:rsidR="002679E7">
        <w:rPr>
          <w:rFonts w:ascii="Georgia" w:hAnsi="Georgia" w:cs="Arial"/>
          <w:color w:val="222222"/>
          <w:sz w:val="24"/>
          <w:szCs w:val="24"/>
          <w:lang w:val="en-US"/>
        </w:rPr>
        <w:t>Government’s Budget posturing</w:t>
      </w:r>
      <w:r w:rsidRPr="002679E7">
        <w:rPr>
          <w:rFonts w:ascii="Georgia" w:hAnsi="Georgia" w:cs="Arial"/>
          <w:color w:val="222222"/>
          <w:sz w:val="24"/>
          <w:szCs w:val="24"/>
          <w:lang w:val="en-US"/>
        </w:rPr>
        <w:t xml:space="preserve"> </w:t>
      </w:r>
      <w:r w:rsidR="002679E7">
        <w:rPr>
          <w:rFonts w:ascii="Georgia" w:hAnsi="Georgia" w:cs="Arial"/>
          <w:color w:val="222222"/>
          <w:sz w:val="24"/>
          <w:szCs w:val="24"/>
          <w:lang w:val="en-US"/>
        </w:rPr>
        <w:t xml:space="preserve">that </w:t>
      </w:r>
      <w:r w:rsidRPr="002679E7">
        <w:rPr>
          <w:rFonts w:ascii="Georgia" w:hAnsi="Georgia" w:cs="Arial"/>
          <w:color w:val="222222"/>
          <w:sz w:val="24"/>
          <w:szCs w:val="24"/>
          <w:lang w:val="en-US"/>
        </w:rPr>
        <w:t xml:space="preserve">the Guild did a good job </w:t>
      </w:r>
      <w:r w:rsidR="002679E7">
        <w:rPr>
          <w:rFonts w:ascii="Georgia" w:hAnsi="Georgia" w:cs="Arial"/>
          <w:color w:val="222222"/>
          <w:sz w:val="24"/>
          <w:szCs w:val="24"/>
          <w:lang w:val="en-US"/>
        </w:rPr>
        <w:t xml:space="preserve">in </w:t>
      </w:r>
      <w:r w:rsidRPr="002679E7">
        <w:rPr>
          <w:rFonts w:ascii="Georgia" w:hAnsi="Georgia" w:cs="Arial"/>
          <w:color w:val="222222"/>
          <w:sz w:val="24"/>
          <w:szCs w:val="24"/>
          <w:lang w:val="en-US"/>
        </w:rPr>
        <w:t>cobbling together a good deal for community pharmacy</w:t>
      </w:r>
      <w:r w:rsidR="002679E7">
        <w:rPr>
          <w:rFonts w:ascii="Georgia" w:hAnsi="Georgia" w:cs="Arial"/>
          <w:color w:val="222222"/>
          <w:sz w:val="24"/>
          <w:szCs w:val="24"/>
          <w:lang w:val="en-US"/>
        </w:rPr>
        <w:t xml:space="preserve">. </w:t>
      </w:r>
    </w:p>
    <w:p w:rsidR="002679E7" w:rsidRDefault="002679E7" w:rsidP="006A67A1">
      <w:pPr>
        <w:rPr>
          <w:rFonts w:ascii="Georgia" w:hAnsi="Georgia" w:cs="Arial"/>
          <w:color w:val="222222"/>
          <w:sz w:val="24"/>
          <w:szCs w:val="24"/>
          <w:lang w:val="en-US"/>
        </w:rPr>
      </w:pPr>
      <w:r>
        <w:rPr>
          <w:rFonts w:ascii="Georgia" w:hAnsi="Georgia" w:cs="Arial"/>
          <w:color w:val="222222"/>
          <w:sz w:val="24"/>
          <w:szCs w:val="24"/>
          <w:lang w:val="en-US"/>
        </w:rPr>
        <w:t>T</w:t>
      </w:r>
      <w:r w:rsidR="00856D88" w:rsidRPr="002679E7">
        <w:rPr>
          <w:rFonts w:ascii="Georgia" w:hAnsi="Georgia" w:cs="Arial"/>
          <w:color w:val="222222"/>
          <w:sz w:val="24"/>
          <w:szCs w:val="24"/>
          <w:lang w:val="en-US"/>
        </w:rPr>
        <w:t xml:space="preserve">he hallmarks of </w:t>
      </w:r>
      <w:r>
        <w:rPr>
          <w:rFonts w:ascii="Georgia" w:hAnsi="Georgia" w:cs="Arial"/>
          <w:color w:val="222222"/>
          <w:sz w:val="24"/>
          <w:szCs w:val="24"/>
          <w:lang w:val="en-US"/>
        </w:rPr>
        <w:t>the agreement</w:t>
      </w:r>
      <w:r w:rsidR="00AA005B" w:rsidRPr="002679E7">
        <w:rPr>
          <w:rFonts w:ascii="Georgia" w:hAnsi="Georgia" w:cs="Arial"/>
          <w:color w:val="222222"/>
          <w:sz w:val="24"/>
          <w:szCs w:val="24"/>
          <w:lang w:val="en-US"/>
        </w:rPr>
        <w:t xml:space="preserve"> include buil</w:t>
      </w:r>
      <w:r>
        <w:rPr>
          <w:rFonts w:ascii="Georgia" w:hAnsi="Georgia" w:cs="Arial"/>
          <w:color w:val="222222"/>
          <w:sz w:val="24"/>
          <w:szCs w:val="24"/>
          <w:lang w:val="en-US"/>
        </w:rPr>
        <w:t>ding a collection of dispensing-</w:t>
      </w:r>
      <w:r w:rsidR="00AA005B" w:rsidRPr="002679E7">
        <w:rPr>
          <w:rFonts w:ascii="Georgia" w:hAnsi="Georgia" w:cs="Arial"/>
          <w:color w:val="222222"/>
          <w:sz w:val="24"/>
          <w:szCs w:val="24"/>
          <w:lang w:val="en-US"/>
        </w:rPr>
        <w:t>fee based</w:t>
      </w:r>
      <w:r w:rsidR="00856D88" w:rsidRPr="002679E7">
        <w:rPr>
          <w:rFonts w:ascii="Georgia" w:hAnsi="Georgia" w:cs="Arial"/>
          <w:color w:val="222222"/>
          <w:sz w:val="24"/>
          <w:szCs w:val="24"/>
          <w:lang w:val="en-US"/>
        </w:rPr>
        <w:t xml:space="preserve"> income</w:t>
      </w:r>
      <w:r>
        <w:rPr>
          <w:rFonts w:ascii="Georgia" w:hAnsi="Georgia" w:cs="Arial"/>
          <w:color w:val="222222"/>
          <w:sz w:val="24"/>
          <w:szCs w:val="24"/>
          <w:lang w:val="en-US"/>
        </w:rPr>
        <w:t xml:space="preserve"> and this, based on my rough calculations works out to be around </w:t>
      </w:r>
      <w:r w:rsidR="00856D88" w:rsidRPr="002679E7">
        <w:rPr>
          <w:rFonts w:ascii="Georgia" w:hAnsi="Georgia" w:cs="Arial"/>
          <w:color w:val="222222"/>
          <w:sz w:val="24"/>
          <w:szCs w:val="24"/>
          <w:lang w:val="en-US"/>
        </w:rPr>
        <w:t>$11.50 per script</w:t>
      </w:r>
      <w:r>
        <w:rPr>
          <w:rFonts w:ascii="Georgia" w:hAnsi="Georgia" w:cs="Arial"/>
          <w:color w:val="222222"/>
          <w:sz w:val="24"/>
          <w:szCs w:val="24"/>
          <w:lang w:val="en-US"/>
        </w:rPr>
        <w:t>. And that includes</w:t>
      </w:r>
      <w:r w:rsidR="00AA005B" w:rsidRPr="002679E7">
        <w:rPr>
          <w:rFonts w:ascii="Georgia" w:hAnsi="Georgia" w:cs="Arial"/>
          <w:color w:val="222222"/>
          <w:sz w:val="24"/>
          <w:szCs w:val="24"/>
          <w:lang w:val="en-US"/>
        </w:rPr>
        <w:t xml:space="preserve"> replacing the markup with a handling fee, </w:t>
      </w:r>
      <w:r>
        <w:rPr>
          <w:rFonts w:ascii="Georgia" w:hAnsi="Georgia" w:cs="Arial"/>
          <w:color w:val="222222"/>
          <w:sz w:val="24"/>
          <w:szCs w:val="24"/>
          <w:lang w:val="en-US"/>
        </w:rPr>
        <w:t>securing dispense-</w:t>
      </w:r>
      <w:r w:rsidR="00856D88" w:rsidRPr="002679E7">
        <w:rPr>
          <w:rFonts w:ascii="Georgia" w:hAnsi="Georgia" w:cs="Arial"/>
          <w:color w:val="222222"/>
          <w:sz w:val="24"/>
          <w:szCs w:val="24"/>
          <w:lang w:val="en-US"/>
        </w:rPr>
        <w:t>fee indexation linked to CPI and</w:t>
      </w:r>
      <w:r>
        <w:rPr>
          <w:rFonts w:ascii="Georgia" w:hAnsi="Georgia" w:cs="Arial"/>
          <w:color w:val="222222"/>
          <w:sz w:val="24"/>
          <w:szCs w:val="24"/>
          <w:lang w:val="en-US"/>
        </w:rPr>
        <w:t xml:space="preserve"> doubling services initiatives.</w:t>
      </w:r>
    </w:p>
    <w:p w:rsidR="00361B19" w:rsidRPr="002679E7" w:rsidRDefault="00361B19" w:rsidP="006A67A1">
      <w:pPr>
        <w:rPr>
          <w:rFonts w:ascii="Georgia" w:hAnsi="Georgia" w:cs="Arial"/>
          <w:color w:val="222222"/>
          <w:sz w:val="24"/>
          <w:szCs w:val="24"/>
          <w:lang w:val="en-US"/>
        </w:rPr>
      </w:pPr>
      <w:r w:rsidRPr="002679E7">
        <w:rPr>
          <w:rFonts w:ascii="Georgia" w:hAnsi="Georgia" w:cs="Arial"/>
          <w:color w:val="222222"/>
          <w:sz w:val="24"/>
          <w:szCs w:val="24"/>
          <w:lang w:val="en-US"/>
        </w:rPr>
        <w:t>Beca</w:t>
      </w:r>
      <w:r w:rsidR="00263428" w:rsidRPr="002679E7">
        <w:rPr>
          <w:rFonts w:ascii="Georgia" w:hAnsi="Georgia" w:cs="Arial"/>
          <w:color w:val="222222"/>
          <w:sz w:val="24"/>
          <w:szCs w:val="24"/>
          <w:lang w:val="en-US"/>
        </w:rPr>
        <w:t>use on average</w:t>
      </w:r>
      <w:r w:rsidRPr="002679E7">
        <w:rPr>
          <w:rFonts w:ascii="Georgia" w:hAnsi="Georgia" w:cs="Arial"/>
          <w:color w:val="222222"/>
          <w:sz w:val="24"/>
          <w:szCs w:val="24"/>
          <w:lang w:val="en-US"/>
        </w:rPr>
        <w:t xml:space="preserve"> it costs</w:t>
      </w:r>
      <w:r w:rsidR="0024161B" w:rsidRPr="002679E7">
        <w:rPr>
          <w:rFonts w:ascii="Georgia" w:hAnsi="Georgia" w:cs="Arial"/>
          <w:color w:val="222222"/>
          <w:sz w:val="24"/>
          <w:szCs w:val="24"/>
          <w:lang w:val="en-US"/>
        </w:rPr>
        <w:t xml:space="preserve"> </w:t>
      </w:r>
      <w:r w:rsidRPr="002679E7">
        <w:rPr>
          <w:rFonts w:ascii="Georgia" w:hAnsi="Georgia" w:cs="Arial"/>
          <w:color w:val="222222"/>
          <w:sz w:val="24"/>
          <w:szCs w:val="24"/>
          <w:lang w:val="en-US"/>
        </w:rPr>
        <w:t xml:space="preserve">$9 per script to operate a dispensary pharmacy owners will still earn a net profit from dispensing </w:t>
      </w:r>
      <w:r w:rsidR="00263428" w:rsidRPr="002679E7">
        <w:rPr>
          <w:rFonts w:ascii="Georgia" w:hAnsi="Georgia" w:cs="Arial"/>
          <w:color w:val="222222"/>
          <w:sz w:val="24"/>
          <w:szCs w:val="24"/>
          <w:lang w:val="en-US"/>
        </w:rPr>
        <w:t xml:space="preserve">of </w:t>
      </w:r>
      <w:r w:rsidR="002679E7">
        <w:rPr>
          <w:rFonts w:ascii="Georgia" w:hAnsi="Georgia" w:cs="Arial"/>
          <w:color w:val="222222"/>
          <w:sz w:val="24"/>
          <w:szCs w:val="24"/>
          <w:lang w:val="en-US"/>
        </w:rPr>
        <w:t>around</w:t>
      </w:r>
      <w:r w:rsidR="00263428" w:rsidRPr="002679E7">
        <w:rPr>
          <w:rFonts w:ascii="Georgia" w:hAnsi="Georgia" w:cs="Arial"/>
          <w:color w:val="222222"/>
          <w:sz w:val="24"/>
          <w:szCs w:val="24"/>
          <w:lang w:val="en-US"/>
        </w:rPr>
        <w:t xml:space="preserve"> $2.50 per script</w:t>
      </w:r>
      <w:r w:rsidR="002679E7">
        <w:rPr>
          <w:rFonts w:ascii="Georgia" w:hAnsi="Georgia" w:cs="Arial"/>
          <w:color w:val="222222"/>
          <w:sz w:val="24"/>
          <w:szCs w:val="24"/>
          <w:lang w:val="en-US"/>
        </w:rPr>
        <w:t>,</w:t>
      </w:r>
      <w:r w:rsidR="00263428" w:rsidRPr="002679E7">
        <w:rPr>
          <w:rFonts w:ascii="Georgia" w:hAnsi="Georgia" w:cs="Arial"/>
          <w:color w:val="222222"/>
          <w:sz w:val="24"/>
          <w:szCs w:val="24"/>
          <w:lang w:val="en-US"/>
        </w:rPr>
        <w:t xml:space="preserve"> or a little higher if some trade discounts remain </w:t>
      </w:r>
      <w:r w:rsidRPr="002679E7">
        <w:rPr>
          <w:rFonts w:ascii="Georgia" w:hAnsi="Georgia" w:cs="Arial"/>
          <w:color w:val="222222"/>
          <w:sz w:val="24"/>
          <w:szCs w:val="24"/>
          <w:lang w:val="en-US"/>
        </w:rPr>
        <w:t xml:space="preserve">although </w:t>
      </w:r>
      <w:r w:rsidR="002679E7">
        <w:rPr>
          <w:rFonts w:ascii="Georgia" w:hAnsi="Georgia" w:cs="Arial"/>
          <w:color w:val="222222"/>
          <w:sz w:val="24"/>
          <w:szCs w:val="24"/>
          <w:lang w:val="en-US"/>
        </w:rPr>
        <w:t xml:space="preserve">it </w:t>
      </w:r>
      <w:r w:rsidR="0024161B" w:rsidRPr="002679E7">
        <w:rPr>
          <w:rFonts w:ascii="Georgia" w:hAnsi="Georgia" w:cs="Arial"/>
          <w:color w:val="222222"/>
          <w:sz w:val="24"/>
          <w:szCs w:val="24"/>
          <w:lang w:val="en-US"/>
        </w:rPr>
        <w:t>will</w:t>
      </w:r>
      <w:r w:rsidR="002679E7">
        <w:rPr>
          <w:rFonts w:ascii="Georgia" w:hAnsi="Georgia" w:cs="Arial"/>
          <w:color w:val="222222"/>
          <w:sz w:val="24"/>
          <w:szCs w:val="24"/>
          <w:lang w:val="en-US"/>
        </w:rPr>
        <w:t xml:space="preserve"> only</w:t>
      </w:r>
      <w:r w:rsidR="0024161B" w:rsidRPr="002679E7">
        <w:rPr>
          <w:rFonts w:ascii="Georgia" w:hAnsi="Georgia" w:cs="Arial"/>
          <w:color w:val="222222"/>
          <w:sz w:val="24"/>
          <w:szCs w:val="24"/>
          <w:lang w:val="en-US"/>
        </w:rPr>
        <w:t xml:space="preserve"> be very</w:t>
      </w:r>
      <w:r w:rsidRPr="002679E7">
        <w:rPr>
          <w:rFonts w:ascii="Georgia" w:hAnsi="Georgia" w:cs="Arial"/>
          <w:color w:val="222222"/>
          <w:sz w:val="24"/>
          <w:szCs w:val="24"/>
          <w:lang w:val="en-US"/>
        </w:rPr>
        <w:t xml:space="preserve"> modest</w:t>
      </w:r>
      <w:r w:rsidR="00263428" w:rsidRPr="002679E7">
        <w:rPr>
          <w:rFonts w:ascii="Georgia" w:hAnsi="Georgia" w:cs="Arial"/>
          <w:color w:val="222222"/>
          <w:sz w:val="24"/>
          <w:szCs w:val="24"/>
          <w:lang w:val="en-US"/>
        </w:rPr>
        <w:t xml:space="preserve"> compared with 18 months ago when </w:t>
      </w:r>
      <w:r w:rsidR="002679E7">
        <w:rPr>
          <w:rFonts w:ascii="Georgia" w:hAnsi="Georgia" w:cs="Arial"/>
          <w:color w:val="222222"/>
          <w:sz w:val="24"/>
          <w:szCs w:val="24"/>
          <w:lang w:val="en-US"/>
        </w:rPr>
        <w:t>the dispensing fee</w:t>
      </w:r>
      <w:r w:rsidR="00263428" w:rsidRPr="002679E7">
        <w:rPr>
          <w:rFonts w:ascii="Georgia" w:hAnsi="Georgia" w:cs="Arial"/>
          <w:color w:val="222222"/>
          <w:sz w:val="24"/>
          <w:szCs w:val="24"/>
          <w:lang w:val="en-US"/>
        </w:rPr>
        <w:t xml:space="preserve"> was more than double that. </w:t>
      </w:r>
    </w:p>
    <w:p w:rsidR="0024161B" w:rsidRPr="002679E7" w:rsidRDefault="00AA005B" w:rsidP="006A67A1">
      <w:pPr>
        <w:rPr>
          <w:rFonts w:ascii="Georgia" w:hAnsi="Georgia" w:cs="Arial"/>
          <w:color w:val="222222"/>
          <w:sz w:val="24"/>
          <w:szCs w:val="24"/>
          <w:lang w:val="en-US"/>
        </w:rPr>
      </w:pPr>
      <w:r w:rsidRPr="002679E7">
        <w:rPr>
          <w:rFonts w:ascii="Georgia" w:hAnsi="Georgia" w:cs="Arial"/>
          <w:color w:val="222222"/>
          <w:sz w:val="24"/>
          <w:szCs w:val="24"/>
          <w:lang w:val="en-US"/>
        </w:rPr>
        <w:t>Therefore, as wholesaler and manufacturer trading discounts inexorably disappear along with rapidly falling generic discounts (resulting from F1 c</w:t>
      </w:r>
      <w:r w:rsidR="002679E7">
        <w:rPr>
          <w:rFonts w:ascii="Georgia" w:hAnsi="Georgia" w:cs="Arial"/>
          <w:color w:val="222222"/>
          <w:sz w:val="24"/>
          <w:szCs w:val="24"/>
          <w:lang w:val="en-US"/>
        </w:rPr>
        <w:t>uts and price disclosure ‘super-</w:t>
      </w:r>
      <w:r w:rsidRPr="002679E7">
        <w:rPr>
          <w:rFonts w:ascii="Georgia" w:hAnsi="Georgia" w:cs="Arial"/>
          <w:color w:val="222222"/>
          <w:sz w:val="24"/>
          <w:szCs w:val="24"/>
          <w:lang w:val="en-US"/>
        </w:rPr>
        <w:t>cycle’ reform) your dispense remunerati</w:t>
      </w:r>
      <w:r w:rsidR="002679E7">
        <w:rPr>
          <w:rFonts w:ascii="Georgia" w:hAnsi="Georgia" w:cs="Arial"/>
          <w:color w:val="222222"/>
          <w:sz w:val="24"/>
          <w:szCs w:val="24"/>
          <w:lang w:val="en-US"/>
        </w:rPr>
        <w:t xml:space="preserve">on will be shored up by the fee </w:t>
      </w:r>
      <w:r w:rsidRPr="002679E7">
        <w:rPr>
          <w:rFonts w:ascii="Georgia" w:hAnsi="Georgia" w:cs="Arial"/>
          <w:color w:val="222222"/>
          <w:sz w:val="24"/>
          <w:szCs w:val="24"/>
          <w:lang w:val="en-US"/>
        </w:rPr>
        <w:t>base</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provided excessive </w:t>
      </w:r>
      <w:r w:rsidR="002679E7">
        <w:rPr>
          <w:rFonts w:ascii="Georgia" w:hAnsi="Georgia" w:cs="Arial"/>
          <w:color w:val="222222"/>
          <w:sz w:val="24"/>
          <w:szCs w:val="24"/>
          <w:lang w:val="en-US"/>
        </w:rPr>
        <w:t>non-</w:t>
      </w:r>
      <w:r w:rsidR="006F0FCE" w:rsidRPr="002679E7">
        <w:rPr>
          <w:rFonts w:ascii="Georgia" w:hAnsi="Georgia" w:cs="Arial"/>
          <w:color w:val="222222"/>
          <w:sz w:val="24"/>
          <w:szCs w:val="24"/>
          <w:lang w:val="en-US"/>
        </w:rPr>
        <w:t>PBS</w:t>
      </w:r>
      <w:r w:rsidRPr="002679E7">
        <w:rPr>
          <w:rFonts w:ascii="Georgia" w:hAnsi="Georgia" w:cs="Arial"/>
          <w:color w:val="222222"/>
          <w:sz w:val="24"/>
          <w:szCs w:val="24"/>
          <w:lang w:val="en-US"/>
        </w:rPr>
        <w:t xml:space="preserve"> price discounting is avoided. The Government</w:t>
      </w:r>
      <w:r w:rsidR="002679E7">
        <w:rPr>
          <w:rFonts w:ascii="Georgia" w:hAnsi="Georgia" w:cs="Arial"/>
          <w:color w:val="222222"/>
          <w:sz w:val="24"/>
          <w:szCs w:val="24"/>
          <w:lang w:val="en-US"/>
        </w:rPr>
        <w:t>’s</w:t>
      </w:r>
      <w:r w:rsidRPr="002679E7">
        <w:rPr>
          <w:rFonts w:ascii="Georgia" w:hAnsi="Georgia" w:cs="Arial"/>
          <w:color w:val="222222"/>
          <w:sz w:val="24"/>
          <w:szCs w:val="24"/>
          <w:lang w:val="en-US"/>
        </w:rPr>
        <w:t xml:space="preserve"> flexible $1 co-pay policy doesn’t help</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of course</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requiring owners and groups to consider ways to ameliorate </w:t>
      </w:r>
      <w:r w:rsidR="006F0FCE" w:rsidRPr="002679E7">
        <w:rPr>
          <w:rFonts w:ascii="Georgia" w:hAnsi="Georgia" w:cs="Arial"/>
          <w:color w:val="222222"/>
          <w:sz w:val="24"/>
          <w:szCs w:val="24"/>
          <w:lang w:val="en-US"/>
        </w:rPr>
        <w:t xml:space="preserve">its </w:t>
      </w:r>
      <w:r w:rsidRPr="002679E7">
        <w:rPr>
          <w:rFonts w:ascii="Georgia" w:hAnsi="Georgia" w:cs="Arial"/>
          <w:color w:val="222222"/>
          <w:sz w:val="24"/>
          <w:szCs w:val="24"/>
          <w:lang w:val="en-US"/>
        </w:rPr>
        <w:t xml:space="preserve">impact and </w:t>
      </w:r>
      <w:r w:rsidR="006F0FCE" w:rsidRPr="002679E7">
        <w:rPr>
          <w:rFonts w:ascii="Georgia" w:hAnsi="Georgia" w:cs="Arial"/>
          <w:color w:val="222222"/>
          <w:sz w:val="24"/>
          <w:szCs w:val="24"/>
          <w:lang w:val="en-US"/>
        </w:rPr>
        <w:t xml:space="preserve">avoid </w:t>
      </w:r>
      <w:r w:rsidRPr="002679E7">
        <w:rPr>
          <w:rFonts w:ascii="Georgia" w:hAnsi="Georgia" w:cs="Arial"/>
          <w:color w:val="222222"/>
          <w:sz w:val="24"/>
          <w:szCs w:val="24"/>
          <w:lang w:val="en-US"/>
        </w:rPr>
        <w:t>the temptation to go with the discount flow.</w:t>
      </w:r>
      <w:r w:rsidR="00263428" w:rsidRPr="002679E7">
        <w:rPr>
          <w:rFonts w:ascii="Georgia" w:hAnsi="Georgia" w:cs="Arial"/>
          <w:color w:val="222222"/>
          <w:sz w:val="24"/>
          <w:szCs w:val="24"/>
          <w:lang w:val="en-US"/>
        </w:rPr>
        <w:t xml:space="preserve"> </w:t>
      </w:r>
    </w:p>
    <w:p w:rsidR="00AA005B" w:rsidRPr="002679E7" w:rsidRDefault="0024161B" w:rsidP="006A67A1">
      <w:pPr>
        <w:rPr>
          <w:rFonts w:ascii="Georgia" w:hAnsi="Georgia" w:cs="Arial"/>
          <w:color w:val="222222"/>
          <w:sz w:val="24"/>
          <w:szCs w:val="24"/>
          <w:lang w:val="en-US"/>
        </w:rPr>
      </w:pPr>
      <w:r w:rsidRPr="002679E7">
        <w:rPr>
          <w:rFonts w:ascii="Georgia" w:hAnsi="Georgia" w:cs="Arial"/>
          <w:color w:val="222222"/>
          <w:sz w:val="24"/>
          <w:szCs w:val="24"/>
          <w:lang w:val="en-US"/>
        </w:rPr>
        <w:t xml:space="preserve">However, </w:t>
      </w:r>
      <w:r w:rsidR="00263428" w:rsidRPr="002679E7">
        <w:rPr>
          <w:rFonts w:ascii="Georgia" w:hAnsi="Georgia" w:cs="Arial"/>
          <w:color w:val="222222"/>
          <w:sz w:val="24"/>
          <w:szCs w:val="24"/>
          <w:lang w:val="en-US"/>
        </w:rPr>
        <w:t>6CPA seems to contain subliminal message</w:t>
      </w:r>
      <w:r w:rsidRPr="002679E7">
        <w:rPr>
          <w:rFonts w:ascii="Georgia" w:hAnsi="Georgia" w:cs="Arial"/>
          <w:color w:val="222222"/>
          <w:sz w:val="24"/>
          <w:szCs w:val="24"/>
          <w:lang w:val="en-US"/>
        </w:rPr>
        <w:t>s</w:t>
      </w:r>
      <w:r w:rsidR="00263428" w:rsidRPr="002679E7">
        <w:rPr>
          <w:rFonts w:ascii="Georgia" w:hAnsi="Georgia" w:cs="Arial"/>
          <w:color w:val="222222"/>
          <w:sz w:val="24"/>
          <w:szCs w:val="24"/>
          <w:lang w:val="en-US"/>
        </w:rPr>
        <w:t xml:space="preserve"> that Government</w:t>
      </w:r>
      <w:r w:rsidRPr="002679E7">
        <w:rPr>
          <w:rFonts w:ascii="Georgia" w:hAnsi="Georgia" w:cs="Arial"/>
          <w:color w:val="222222"/>
          <w:sz w:val="24"/>
          <w:szCs w:val="24"/>
          <w:lang w:val="en-US"/>
        </w:rPr>
        <w:t xml:space="preserve"> </w:t>
      </w:r>
      <w:r w:rsidR="00263428" w:rsidRPr="002679E7">
        <w:rPr>
          <w:rFonts w:ascii="Georgia" w:hAnsi="Georgia" w:cs="Arial"/>
          <w:color w:val="222222"/>
          <w:sz w:val="24"/>
          <w:szCs w:val="24"/>
          <w:lang w:val="en-US"/>
        </w:rPr>
        <w:t xml:space="preserve">wants </w:t>
      </w:r>
      <w:r w:rsidR="002679E7">
        <w:rPr>
          <w:rFonts w:ascii="Georgia" w:hAnsi="Georgia" w:cs="Arial"/>
          <w:color w:val="222222"/>
          <w:sz w:val="24"/>
          <w:szCs w:val="24"/>
          <w:lang w:val="en-US"/>
        </w:rPr>
        <w:t>pharmacy</w:t>
      </w:r>
      <w:r w:rsidR="00263428" w:rsidRPr="002679E7">
        <w:rPr>
          <w:rFonts w:ascii="Georgia" w:hAnsi="Georgia" w:cs="Arial"/>
          <w:color w:val="222222"/>
          <w:sz w:val="24"/>
          <w:szCs w:val="24"/>
          <w:lang w:val="en-US"/>
        </w:rPr>
        <w:t xml:space="preserve"> to address dispensing inefficiencies </w:t>
      </w:r>
      <w:r w:rsidR="002679E7">
        <w:rPr>
          <w:rFonts w:ascii="Georgia" w:hAnsi="Georgia" w:cs="Arial"/>
          <w:color w:val="222222"/>
          <w:sz w:val="24"/>
          <w:szCs w:val="24"/>
          <w:lang w:val="en-US"/>
        </w:rPr>
        <w:t>and reduce</w:t>
      </w:r>
      <w:r w:rsidR="00263428" w:rsidRPr="002679E7">
        <w:rPr>
          <w:rFonts w:ascii="Georgia" w:hAnsi="Georgia" w:cs="Arial"/>
          <w:color w:val="222222"/>
          <w:sz w:val="24"/>
          <w:szCs w:val="24"/>
          <w:lang w:val="en-US"/>
        </w:rPr>
        <w:t xml:space="preserve"> costs</w:t>
      </w:r>
      <w:r w:rsidR="002679E7">
        <w:rPr>
          <w:rFonts w:ascii="Georgia" w:hAnsi="Georgia" w:cs="Arial"/>
          <w:color w:val="222222"/>
          <w:sz w:val="24"/>
          <w:szCs w:val="24"/>
          <w:lang w:val="en-US"/>
        </w:rPr>
        <w:t>,</w:t>
      </w:r>
      <w:r w:rsidR="00263428" w:rsidRPr="002679E7">
        <w:rPr>
          <w:rFonts w:ascii="Georgia" w:hAnsi="Georgia" w:cs="Arial"/>
          <w:color w:val="222222"/>
          <w:sz w:val="24"/>
          <w:szCs w:val="24"/>
          <w:lang w:val="en-US"/>
        </w:rPr>
        <w:t xml:space="preserve"> and release the pharmacist </w:t>
      </w:r>
      <w:r w:rsidR="002679E7">
        <w:rPr>
          <w:rFonts w:ascii="Georgia" w:hAnsi="Georgia" w:cs="Arial"/>
          <w:color w:val="222222"/>
          <w:sz w:val="24"/>
          <w:szCs w:val="24"/>
          <w:lang w:val="en-US"/>
        </w:rPr>
        <w:t xml:space="preserve">from the dispensary </w:t>
      </w:r>
      <w:r w:rsidR="00263428" w:rsidRPr="002679E7">
        <w:rPr>
          <w:rFonts w:ascii="Georgia" w:hAnsi="Georgia" w:cs="Arial"/>
          <w:color w:val="222222"/>
          <w:sz w:val="24"/>
          <w:szCs w:val="24"/>
          <w:lang w:val="en-US"/>
        </w:rPr>
        <w:t>to undertake more productive activities</w:t>
      </w:r>
      <w:r w:rsidR="002679E7">
        <w:rPr>
          <w:rFonts w:ascii="Georgia" w:hAnsi="Georgia" w:cs="Arial"/>
          <w:color w:val="222222"/>
          <w:sz w:val="24"/>
          <w:szCs w:val="24"/>
          <w:lang w:val="en-US"/>
        </w:rPr>
        <w:t>,</w:t>
      </w:r>
      <w:r w:rsidR="00263428" w:rsidRPr="002679E7">
        <w:rPr>
          <w:rFonts w:ascii="Georgia" w:hAnsi="Georgia" w:cs="Arial"/>
          <w:color w:val="222222"/>
          <w:sz w:val="24"/>
          <w:szCs w:val="24"/>
          <w:lang w:val="en-US"/>
        </w:rPr>
        <w:t xml:space="preserve"> such as the services envisaged in the agreement. In other words</w:t>
      </w:r>
      <w:r w:rsidR="002679E7">
        <w:rPr>
          <w:rFonts w:ascii="Georgia" w:hAnsi="Georgia" w:cs="Arial"/>
          <w:color w:val="222222"/>
          <w:sz w:val="24"/>
          <w:szCs w:val="24"/>
          <w:lang w:val="en-US"/>
        </w:rPr>
        <w:t>,</w:t>
      </w:r>
      <w:r w:rsidR="00263428" w:rsidRPr="002679E7">
        <w:rPr>
          <w:rFonts w:ascii="Georgia" w:hAnsi="Georgia" w:cs="Arial"/>
          <w:color w:val="222222"/>
          <w:sz w:val="24"/>
          <w:szCs w:val="24"/>
          <w:lang w:val="en-US"/>
        </w:rPr>
        <w:t xml:space="preserve"> 6CPA allows the dispensing chemist and PBS network model to survive while providing significant opportunities for those owners who want to innovate and take advantage of the opportunities presented. </w:t>
      </w:r>
    </w:p>
    <w:p w:rsidR="00D82A7E" w:rsidRPr="002679E7" w:rsidRDefault="00963626" w:rsidP="006A67A1">
      <w:pPr>
        <w:rPr>
          <w:rFonts w:ascii="Georgia" w:hAnsi="Georgia" w:cs="Arial"/>
          <w:color w:val="222222"/>
          <w:sz w:val="24"/>
          <w:szCs w:val="24"/>
          <w:lang w:val="en-US"/>
        </w:rPr>
      </w:pPr>
      <w:r w:rsidRPr="002679E7">
        <w:rPr>
          <w:rFonts w:ascii="Georgia" w:hAnsi="Georgia" w:cs="Arial"/>
          <w:color w:val="222222"/>
          <w:sz w:val="24"/>
          <w:szCs w:val="24"/>
          <w:lang w:val="en-US"/>
        </w:rPr>
        <w:t>As some older pharmacists may recall</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the very first </w:t>
      </w:r>
      <w:r w:rsidR="002679E7">
        <w:rPr>
          <w:rFonts w:ascii="Georgia" w:hAnsi="Georgia" w:cs="Arial"/>
          <w:color w:val="222222"/>
          <w:sz w:val="24"/>
          <w:szCs w:val="24"/>
          <w:lang w:val="en-US"/>
        </w:rPr>
        <w:t xml:space="preserve">community pharmacy </w:t>
      </w:r>
      <w:r w:rsidRPr="002679E7">
        <w:rPr>
          <w:rFonts w:ascii="Georgia" w:hAnsi="Georgia" w:cs="Arial"/>
          <w:color w:val="222222"/>
          <w:sz w:val="24"/>
          <w:szCs w:val="24"/>
          <w:lang w:val="en-US"/>
        </w:rPr>
        <w:t xml:space="preserve">agreement that commenced 25 years ago, 1 July 1990, was based on pharmacists dispensary remuneration comprising two components – fee and mark-up. And </w:t>
      </w:r>
      <w:r w:rsidR="006F0FCE" w:rsidRPr="002679E7">
        <w:rPr>
          <w:rFonts w:ascii="Georgia" w:hAnsi="Georgia" w:cs="Arial"/>
          <w:color w:val="222222"/>
          <w:sz w:val="24"/>
          <w:szCs w:val="24"/>
          <w:lang w:val="en-US"/>
        </w:rPr>
        <w:t>pharmacy is quickly returning to that situation presenting owners with the challenge of holding or growing disp</w:t>
      </w:r>
      <w:r w:rsidR="002679E7">
        <w:rPr>
          <w:rFonts w:ascii="Georgia" w:hAnsi="Georgia" w:cs="Arial"/>
          <w:color w:val="222222"/>
          <w:sz w:val="24"/>
          <w:szCs w:val="24"/>
          <w:lang w:val="en-US"/>
        </w:rPr>
        <w:t xml:space="preserve">ensing profitability and the road you take depends on what </w:t>
      </w:r>
      <w:r w:rsidR="002679E7" w:rsidRPr="002679E7">
        <w:rPr>
          <w:rFonts w:ascii="Georgia" w:hAnsi="Georgia" w:cs="Arial"/>
          <w:i/>
          <w:color w:val="222222"/>
          <w:sz w:val="24"/>
          <w:szCs w:val="24"/>
          <w:lang w:val="en-US"/>
        </w:rPr>
        <w:t>you</w:t>
      </w:r>
      <w:r w:rsidR="002679E7">
        <w:rPr>
          <w:rFonts w:ascii="Georgia" w:hAnsi="Georgia" w:cs="Arial"/>
          <w:color w:val="222222"/>
          <w:sz w:val="24"/>
          <w:szCs w:val="24"/>
          <w:lang w:val="en-US"/>
        </w:rPr>
        <w:t xml:space="preserve"> </w:t>
      </w:r>
      <w:r w:rsidR="006F0FCE" w:rsidRPr="002679E7">
        <w:rPr>
          <w:rFonts w:ascii="Georgia" w:hAnsi="Georgia" w:cs="Arial"/>
          <w:color w:val="222222"/>
          <w:sz w:val="24"/>
          <w:szCs w:val="24"/>
          <w:lang w:val="en-US"/>
        </w:rPr>
        <w:t>can influence. Th</w:t>
      </w:r>
      <w:r w:rsidR="00D82A7E" w:rsidRPr="002679E7">
        <w:rPr>
          <w:rFonts w:ascii="Georgia" w:hAnsi="Georgia" w:cs="Arial"/>
          <w:color w:val="222222"/>
          <w:sz w:val="24"/>
          <w:szCs w:val="24"/>
          <w:lang w:val="en-US"/>
        </w:rPr>
        <w:t>erefore,</w:t>
      </w:r>
      <w:r w:rsidR="006F0FCE" w:rsidRPr="002679E7">
        <w:rPr>
          <w:rFonts w:ascii="Georgia" w:hAnsi="Georgia" w:cs="Arial"/>
          <w:color w:val="222222"/>
          <w:sz w:val="24"/>
          <w:szCs w:val="24"/>
          <w:lang w:val="en-US"/>
        </w:rPr>
        <w:t xml:space="preserve"> </w:t>
      </w:r>
      <w:r w:rsidR="00D82A7E" w:rsidRPr="002679E7">
        <w:rPr>
          <w:rFonts w:ascii="Georgia" w:hAnsi="Georgia" w:cs="Arial"/>
          <w:color w:val="222222"/>
          <w:sz w:val="24"/>
          <w:szCs w:val="24"/>
          <w:lang w:val="en-US"/>
        </w:rPr>
        <w:t xml:space="preserve">because </w:t>
      </w:r>
      <w:r w:rsidR="0024161B" w:rsidRPr="002679E7">
        <w:rPr>
          <w:rFonts w:ascii="Georgia" w:hAnsi="Georgia" w:cs="Arial"/>
          <w:color w:val="222222"/>
          <w:sz w:val="24"/>
          <w:szCs w:val="24"/>
          <w:lang w:val="en-US"/>
        </w:rPr>
        <w:t xml:space="preserve">you know </w:t>
      </w:r>
      <w:r w:rsidR="006F0FCE" w:rsidRPr="002679E7">
        <w:rPr>
          <w:rFonts w:ascii="Georgia" w:hAnsi="Georgia" w:cs="Arial"/>
          <w:color w:val="222222"/>
          <w:sz w:val="24"/>
          <w:szCs w:val="24"/>
          <w:lang w:val="en-US"/>
        </w:rPr>
        <w:t>the income that can be generated per script is</w:t>
      </w:r>
      <w:r w:rsidR="002679E7">
        <w:rPr>
          <w:rFonts w:ascii="Georgia" w:hAnsi="Georgia" w:cs="Arial"/>
          <w:color w:val="222222"/>
          <w:sz w:val="24"/>
          <w:szCs w:val="24"/>
          <w:lang w:val="en-US"/>
        </w:rPr>
        <w:t>,</w:t>
      </w:r>
      <w:r w:rsidR="00D82A7E" w:rsidRPr="002679E7">
        <w:rPr>
          <w:rFonts w:ascii="Georgia" w:hAnsi="Georgia" w:cs="Arial"/>
          <w:color w:val="222222"/>
          <w:sz w:val="24"/>
          <w:szCs w:val="24"/>
          <w:lang w:val="en-US"/>
        </w:rPr>
        <w:t xml:space="preserve"> or will soon be</w:t>
      </w:r>
      <w:r w:rsidR="002679E7">
        <w:rPr>
          <w:rFonts w:ascii="Georgia" w:hAnsi="Georgia" w:cs="Arial"/>
          <w:color w:val="222222"/>
          <w:sz w:val="24"/>
          <w:szCs w:val="24"/>
          <w:lang w:val="en-US"/>
        </w:rPr>
        <w:t>,</w:t>
      </w:r>
      <w:r w:rsidR="00D82A7E" w:rsidRPr="002679E7">
        <w:rPr>
          <w:rFonts w:ascii="Georgia" w:hAnsi="Georgia" w:cs="Arial"/>
          <w:color w:val="222222"/>
          <w:sz w:val="24"/>
          <w:szCs w:val="24"/>
          <w:lang w:val="en-US"/>
        </w:rPr>
        <w:t xml:space="preserve"> fixed </w:t>
      </w:r>
      <w:r w:rsidR="0024161B" w:rsidRPr="002679E7">
        <w:rPr>
          <w:rFonts w:ascii="Georgia" w:hAnsi="Georgia" w:cs="Arial"/>
          <w:color w:val="222222"/>
          <w:sz w:val="24"/>
          <w:szCs w:val="24"/>
          <w:lang w:val="en-US"/>
        </w:rPr>
        <w:t xml:space="preserve">lifting profitability means turning to </w:t>
      </w:r>
      <w:r w:rsidR="00D82A7E" w:rsidRPr="002679E7">
        <w:rPr>
          <w:rFonts w:ascii="Georgia" w:hAnsi="Georgia" w:cs="Arial"/>
          <w:color w:val="222222"/>
          <w:sz w:val="24"/>
          <w:szCs w:val="24"/>
          <w:lang w:val="en-US"/>
        </w:rPr>
        <w:t>work on lowering the cost of dispensing</w:t>
      </w:r>
      <w:r w:rsidR="002679E7">
        <w:rPr>
          <w:rFonts w:ascii="Georgia" w:hAnsi="Georgia" w:cs="Arial"/>
          <w:color w:val="222222"/>
          <w:sz w:val="24"/>
          <w:szCs w:val="24"/>
          <w:lang w:val="en-US"/>
        </w:rPr>
        <w:t>, and that</w:t>
      </w:r>
      <w:r w:rsidR="00D82A7E" w:rsidRPr="002679E7">
        <w:rPr>
          <w:rFonts w:ascii="Georgia" w:hAnsi="Georgia" w:cs="Arial"/>
          <w:color w:val="222222"/>
          <w:sz w:val="24"/>
          <w:szCs w:val="24"/>
          <w:lang w:val="en-US"/>
        </w:rPr>
        <w:t xml:space="preserve"> en</w:t>
      </w:r>
      <w:r w:rsidR="002679E7">
        <w:rPr>
          <w:rFonts w:ascii="Georgia" w:hAnsi="Georgia" w:cs="Arial"/>
          <w:color w:val="222222"/>
          <w:sz w:val="24"/>
          <w:szCs w:val="24"/>
          <w:lang w:val="en-US"/>
        </w:rPr>
        <w:t>tails</w:t>
      </w:r>
      <w:r w:rsidR="00D82A7E" w:rsidRPr="002679E7">
        <w:rPr>
          <w:rFonts w:ascii="Georgia" w:hAnsi="Georgia" w:cs="Arial"/>
          <w:color w:val="222222"/>
          <w:sz w:val="24"/>
          <w:szCs w:val="24"/>
          <w:lang w:val="en-US"/>
        </w:rPr>
        <w:t xml:space="preserve"> addressing</w:t>
      </w:r>
      <w:r w:rsidR="002679E7">
        <w:rPr>
          <w:rFonts w:ascii="Georgia" w:hAnsi="Georgia" w:cs="Arial"/>
          <w:color w:val="222222"/>
          <w:sz w:val="24"/>
          <w:szCs w:val="24"/>
          <w:lang w:val="en-US"/>
        </w:rPr>
        <w:t xml:space="preserve"> the following</w:t>
      </w:r>
      <w:r w:rsidR="00D82A7E" w:rsidRPr="002679E7">
        <w:rPr>
          <w:rFonts w:ascii="Georgia" w:hAnsi="Georgia" w:cs="Arial"/>
          <w:color w:val="222222"/>
          <w:sz w:val="24"/>
          <w:szCs w:val="24"/>
          <w:lang w:val="en-US"/>
        </w:rPr>
        <w:t>:</w:t>
      </w:r>
    </w:p>
    <w:p w:rsidR="00D82A7E" w:rsidRPr="002679E7" w:rsidRDefault="00D82A7E" w:rsidP="00D82A7E">
      <w:pPr>
        <w:pStyle w:val="ListParagraph"/>
        <w:numPr>
          <w:ilvl w:val="0"/>
          <w:numId w:val="8"/>
        </w:numPr>
        <w:rPr>
          <w:rFonts w:ascii="Georgia" w:hAnsi="Georgia" w:cs="Arial"/>
          <w:color w:val="222222"/>
          <w:sz w:val="24"/>
          <w:szCs w:val="24"/>
          <w:lang w:val="en-US"/>
        </w:rPr>
      </w:pPr>
      <w:r w:rsidRPr="002679E7">
        <w:rPr>
          <w:rFonts w:ascii="Georgia" w:hAnsi="Georgia" w:cs="Arial"/>
          <w:color w:val="222222"/>
          <w:sz w:val="24"/>
          <w:szCs w:val="24"/>
          <w:lang w:val="en-US"/>
        </w:rPr>
        <w:t>Change dispensing administration people resource –</w:t>
      </w:r>
      <w:r w:rsidR="002679E7">
        <w:rPr>
          <w:rFonts w:ascii="Georgia" w:hAnsi="Georgia" w:cs="Arial"/>
          <w:color w:val="222222"/>
          <w:sz w:val="24"/>
          <w:szCs w:val="24"/>
          <w:lang w:val="en-US"/>
        </w:rPr>
        <w:t xml:space="preserve"> </w:t>
      </w:r>
      <w:r w:rsidRPr="002679E7">
        <w:rPr>
          <w:rFonts w:ascii="Georgia" w:hAnsi="Georgia" w:cs="Arial"/>
          <w:color w:val="222222"/>
          <w:sz w:val="24"/>
          <w:szCs w:val="24"/>
          <w:lang w:val="en-US"/>
        </w:rPr>
        <w:t>re-train</w:t>
      </w:r>
      <w:r w:rsidR="002679E7">
        <w:rPr>
          <w:rFonts w:ascii="Georgia" w:hAnsi="Georgia" w:cs="Arial"/>
          <w:color w:val="222222"/>
          <w:sz w:val="24"/>
          <w:szCs w:val="24"/>
          <w:lang w:val="en-US"/>
        </w:rPr>
        <w:t xml:space="preserve"> assistants</w:t>
      </w:r>
      <w:r w:rsidRPr="002679E7">
        <w:rPr>
          <w:rFonts w:ascii="Georgia" w:hAnsi="Georgia" w:cs="Arial"/>
          <w:color w:val="222222"/>
          <w:sz w:val="24"/>
          <w:szCs w:val="24"/>
          <w:lang w:val="en-US"/>
        </w:rPr>
        <w:t xml:space="preserve"> as dispensar</w:t>
      </w:r>
      <w:r w:rsidR="002679E7">
        <w:rPr>
          <w:rFonts w:ascii="Georgia" w:hAnsi="Georgia" w:cs="Arial"/>
          <w:color w:val="222222"/>
          <w:sz w:val="24"/>
          <w:szCs w:val="24"/>
          <w:lang w:val="en-US"/>
        </w:rPr>
        <w:t>y technicians who handle script-</w:t>
      </w:r>
      <w:r w:rsidRPr="002679E7">
        <w:rPr>
          <w:rFonts w:ascii="Georgia" w:hAnsi="Georgia" w:cs="Arial"/>
          <w:color w:val="222222"/>
          <w:sz w:val="24"/>
          <w:szCs w:val="24"/>
          <w:lang w:val="en-US"/>
        </w:rPr>
        <w:t xml:space="preserve">in (particularly at peak trading times), keying in, picking and assembly. And because technicians earn a lower hourly wage rate </w:t>
      </w:r>
      <w:r w:rsidR="00DC3A2B" w:rsidRPr="002679E7">
        <w:rPr>
          <w:rFonts w:ascii="Georgia" w:hAnsi="Georgia" w:cs="Arial"/>
          <w:color w:val="222222"/>
          <w:sz w:val="24"/>
          <w:szCs w:val="24"/>
          <w:lang w:val="en-US"/>
        </w:rPr>
        <w:t xml:space="preserve">($18 to $22 / </w:t>
      </w:r>
      <w:r w:rsidR="00DC3A2B" w:rsidRPr="002679E7">
        <w:rPr>
          <w:rFonts w:ascii="Georgia" w:hAnsi="Georgia" w:cs="Arial"/>
          <w:color w:val="222222"/>
          <w:sz w:val="24"/>
          <w:szCs w:val="24"/>
          <w:lang w:val="en-US"/>
        </w:rPr>
        <w:lastRenderedPageBreak/>
        <w:t xml:space="preserve">hour) </w:t>
      </w:r>
      <w:r w:rsidRPr="002679E7">
        <w:rPr>
          <w:rFonts w:ascii="Georgia" w:hAnsi="Georgia" w:cs="Arial"/>
          <w:color w:val="222222"/>
          <w:sz w:val="24"/>
          <w:szCs w:val="24"/>
          <w:lang w:val="en-US"/>
        </w:rPr>
        <w:t>than pharmacists</w:t>
      </w:r>
      <w:r w:rsidR="00DC3A2B" w:rsidRPr="002679E7">
        <w:rPr>
          <w:rFonts w:ascii="Georgia" w:hAnsi="Georgia" w:cs="Arial"/>
          <w:color w:val="222222"/>
          <w:sz w:val="24"/>
          <w:szCs w:val="24"/>
          <w:lang w:val="en-US"/>
        </w:rPr>
        <w:t xml:space="preserve"> the cost to dispense will fall plus</w:t>
      </w:r>
      <w:r w:rsidR="002679E7">
        <w:rPr>
          <w:rFonts w:ascii="Georgia" w:hAnsi="Georgia" w:cs="Arial"/>
          <w:color w:val="222222"/>
          <w:sz w:val="24"/>
          <w:szCs w:val="24"/>
          <w:lang w:val="en-US"/>
        </w:rPr>
        <w:t>,</w:t>
      </w:r>
      <w:r w:rsidR="00DC3A2B" w:rsidRPr="002679E7">
        <w:rPr>
          <w:rFonts w:ascii="Georgia" w:hAnsi="Georgia" w:cs="Arial"/>
          <w:color w:val="222222"/>
          <w:sz w:val="24"/>
          <w:szCs w:val="24"/>
          <w:lang w:val="en-US"/>
        </w:rPr>
        <w:t xml:space="preserve"> as a good tech can process a lot of scripts without interruption</w:t>
      </w:r>
      <w:r w:rsidR="002679E7">
        <w:rPr>
          <w:rFonts w:ascii="Georgia" w:hAnsi="Georgia" w:cs="Arial"/>
          <w:color w:val="222222"/>
          <w:sz w:val="24"/>
          <w:szCs w:val="24"/>
          <w:lang w:val="en-US"/>
        </w:rPr>
        <w:t>, process efficiency is enhanced;</w:t>
      </w:r>
    </w:p>
    <w:p w:rsidR="006F0FCE" w:rsidRPr="002679E7" w:rsidRDefault="00D82A7E" w:rsidP="00D82A7E">
      <w:pPr>
        <w:pStyle w:val="ListParagraph"/>
        <w:numPr>
          <w:ilvl w:val="0"/>
          <w:numId w:val="8"/>
        </w:numPr>
        <w:rPr>
          <w:rFonts w:ascii="Georgia" w:hAnsi="Georgia" w:cs="Arial"/>
          <w:color w:val="222222"/>
          <w:sz w:val="24"/>
          <w:szCs w:val="24"/>
          <w:lang w:val="en-US"/>
        </w:rPr>
      </w:pPr>
      <w:r w:rsidRPr="002679E7">
        <w:rPr>
          <w:rFonts w:ascii="Georgia" w:hAnsi="Georgia" w:cs="Arial"/>
          <w:color w:val="222222"/>
          <w:sz w:val="24"/>
          <w:szCs w:val="24"/>
          <w:lang w:val="en-US"/>
        </w:rPr>
        <w:t xml:space="preserve">Change </w:t>
      </w:r>
      <w:r w:rsidR="002679E7">
        <w:rPr>
          <w:rFonts w:ascii="Georgia" w:hAnsi="Georgia" w:cs="Arial"/>
          <w:color w:val="222222"/>
          <w:sz w:val="24"/>
          <w:szCs w:val="24"/>
          <w:lang w:val="en-US"/>
        </w:rPr>
        <w:t xml:space="preserve">the </w:t>
      </w:r>
      <w:r w:rsidRPr="002679E7">
        <w:rPr>
          <w:rFonts w:ascii="Georgia" w:hAnsi="Georgia" w:cs="Arial"/>
          <w:color w:val="222222"/>
          <w:sz w:val="24"/>
          <w:szCs w:val="24"/>
          <w:lang w:val="en-US"/>
        </w:rPr>
        <w:t>pharmacist</w:t>
      </w:r>
      <w:r w:rsidR="002679E7">
        <w:rPr>
          <w:rFonts w:ascii="Georgia" w:hAnsi="Georgia" w:cs="Arial"/>
          <w:color w:val="222222"/>
          <w:sz w:val="24"/>
          <w:szCs w:val="24"/>
          <w:lang w:val="en-US"/>
        </w:rPr>
        <w:t>’s</w:t>
      </w:r>
      <w:r w:rsidRPr="002679E7">
        <w:rPr>
          <w:rFonts w:ascii="Georgia" w:hAnsi="Georgia" w:cs="Arial"/>
          <w:color w:val="222222"/>
          <w:sz w:val="24"/>
          <w:szCs w:val="24"/>
          <w:lang w:val="en-US"/>
        </w:rPr>
        <w:t xml:space="preserve"> role </w:t>
      </w:r>
      <w:r w:rsidR="00DC3A2B" w:rsidRPr="002679E7">
        <w:rPr>
          <w:rFonts w:ascii="Georgia" w:hAnsi="Georgia" w:cs="Arial"/>
          <w:color w:val="222222"/>
          <w:sz w:val="24"/>
          <w:szCs w:val="24"/>
          <w:lang w:val="en-US"/>
        </w:rPr>
        <w:t>– pharmacists check scripts, patient history and interactions on a computer adjacent to or in front of the dispensary and they become</w:t>
      </w:r>
      <w:r w:rsidR="002679E7">
        <w:rPr>
          <w:rFonts w:ascii="Georgia" w:hAnsi="Georgia" w:cs="Arial"/>
          <w:color w:val="222222"/>
          <w:sz w:val="24"/>
          <w:szCs w:val="24"/>
          <w:lang w:val="en-US"/>
        </w:rPr>
        <w:t xml:space="preserve"> the hub of customer engagement;</w:t>
      </w:r>
    </w:p>
    <w:p w:rsidR="00DC3A2B" w:rsidRPr="002679E7" w:rsidRDefault="00DC3A2B" w:rsidP="00D82A7E">
      <w:pPr>
        <w:pStyle w:val="ListParagraph"/>
        <w:numPr>
          <w:ilvl w:val="0"/>
          <w:numId w:val="8"/>
        </w:numPr>
        <w:rPr>
          <w:rFonts w:ascii="Georgia" w:hAnsi="Georgia" w:cs="Arial"/>
          <w:color w:val="222222"/>
          <w:sz w:val="24"/>
          <w:szCs w:val="24"/>
          <w:lang w:val="en-US"/>
        </w:rPr>
      </w:pPr>
      <w:r w:rsidRPr="002679E7">
        <w:rPr>
          <w:rFonts w:ascii="Georgia" w:hAnsi="Georgia" w:cs="Arial"/>
          <w:color w:val="222222"/>
          <w:sz w:val="24"/>
          <w:szCs w:val="24"/>
          <w:lang w:val="en-US"/>
        </w:rPr>
        <w:t>Change process</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including staff roster – review process blockages, bottle necks, insufficient staff at peak periods, cut travel time and distance, minimize white space (</w:t>
      </w:r>
      <w:r w:rsidR="002679E7">
        <w:rPr>
          <w:rFonts w:ascii="Georgia" w:hAnsi="Georgia" w:cs="Arial"/>
          <w:color w:val="222222"/>
          <w:sz w:val="24"/>
          <w:szCs w:val="24"/>
          <w:lang w:val="en-US"/>
        </w:rPr>
        <w:t>as Glenn Guilfoyle says,</w:t>
      </w:r>
      <w:r w:rsidRPr="002679E7">
        <w:rPr>
          <w:rFonts w:ascii="Georgia" w:hAnsi="Georgia" w:cs="Arial"/>
          <w:color w:val="222222"/>
          <w:sz w:val="24"/>
          <w:szCs w:val="24"/>
          <w:lang w:val="en-US"/>
        </w:rPr>
        <w:t xml:space="preserve"> when the script is</w:t>
      </w:r>
      <w:r w:rsidR="002679E7">
        <w:rPr>
          <w:rFonts w:ascii="Georgia" w:hAnsi="Georgia" w:cs="Arial"/>
          <w:color w:val="222222"/>
          <w:sz w:val="24"/>
          <w:szCs w:val="24"/>
          <w:lang w:val="en-US"/>
        </w:rPr>
        <w:t xml:space="preserve"> just sitting around); and</w:t>
      </w:r>
    </w:p>
    <w:p w:rsidR="00963626" w:rsidRPr="002679E7" w:rsidRDefault="00DC3A2B" w:rsidP="006A67A1">
      <w:pPr>
        <w:pStyle w:val="ListParagraph"/>
        <w:numPr>
          <w:ilvl w:val="0"/>
          <w:numId w:val="8"/>
        </w:numPr>
        <w:rPr>
          <w:rFonts w:ascii="Georgia" w:hAnsi="Georgia" w:cs="Arial"/>
          <w:color w:val="222222"/>
          <w:sz w:val="24"/>
          <w:szCs w:val="24"/>
          <w:lang w:val="en-US"/>
        </w:rPr>
      </w:pPr>
      <w:r w:rsidRPr="002679E7">
        <w:rPr>
          <w:rFonts w:ascii="Georgia" w:hAnsi="Georgia" w:cs="Arial"/>
          <w:color w:val="222222"/>
          <w:sz w:val="24"/>
          <w:szCs w:val="24"/>
          <w:lang w:val="en-US"/>
        </w:rPr>
        <w:t xml:space="preserve">Efficient dispense stock storage systems – gravity shelves, drawers and, in some instances, robots that reduce picking and replenishment times plus save floor and wall space </w:t>
      </w:r>
      <w:r w:rsidR="00361B19" w:rsidRPr="002679E7">
        <w:rPr>
          <w:rFonts w:ascii="Georgia" w:hAnsi="Georgia" w:cs="Arial"/>
          <w:color w:val="222222"/>
          <w:sz w:val="24"/>
          <w:szCs w:val="24"/>
          <w:lang w:val="en-US"/>
        </w:rPr>
        <w:t>in most circumstances</w:t>
      </w:r>
      <w:r w:rsidR="002679E7">
        <w:rPr>
          <w:rFonts w:ascii="Georgia" w:hAnsi="Georgia" w:cs="Arial"/>
          <w:color w:val="222222"/>
          <w:sz w:val="24"/>
          <w:szCs w:val="24"/>
          <w:lang w:val="en-US"/>
        </w:rPr>
        <w:t>,</w:t>
      </w:r>
      <w:r w:rsidR="00361B19" w:rsidRPr="002679E7">
        <w:rPr>
          <w:rFonts w:ascii="Georgia" w:hAnsi="Georgia" w:cs="Arial"/>
          <w:color w:val="222222"/>
          <w:sz w:val="24"/>
          <w:szCs w:val="24"/>
          <w:lang w:val="en-US"/>
        </w:rPr>
        <w:t xml:space="preserve"> except for some robot applications. While many of you are seeing stock storage as the </w:t>
      </w:r>
      <w:r w:rsidR="0024161B" w:rsidRPr="002679E7">
        <w:rPr>
          <w:rFonts w:ascii="Georgia" w:hAnsi="Georgia" w:cs="Arial"/>
          <w:color w:val="222222"/>
          <w:sz w:val="24"/>
          <w:szCs w:val="24"/>
          <w:lang w:val="en-US"/>
        </w:rPr>
        <w:t xml:space="preserve">Holy Grail in reality </w:t>
      </w:r>
      <w:r w:rsidR="00361B19" w:rsidRPr="002679E7">
        <w:rPr>
          <w:rFonts w:ascii="Georgia" w:hAnsi="Georgia" w:cs="Arial"/>
          <w:color w:val="222222"/>
          <w:sz w:val="24"/>
          <w:szCs w:val="24"/>
          <w:lang w:val="en-US"/>
        </w:rPr>
        <w:t>the great majority of</w:t>
      </w:r>
      <w:r w:rsidR="003D4A97" w:rsidRPr="002679E7">
        <w:rPr>
          <w:rFonts w:ascii="Georgia" w:hAnsi="Georgia" w:cs="Arial"/>
          <w:color w:val="222222"/>
          <w:sz w:val="24"/>
          <w:szCs w:val="24"/>
          <w:lang w:val="en-US"/>
        </w:rPr>
        <w:t xml:space="preserve"> efficiency/cost saving</w:t>
      </w:r>
      <w:r w:rsidR="00361B19" w:rsidRPr="002679E7">
        <w:rPr>
          <w:rFonts w:ascii="Georgia" w:hAnsi="Georgia" w:cs="Arial"/>
          <w:color w:val="222222"/>
          <w:sz w:val="24"/>
          <w:szCs w:val="24"/>
          <w:lang w:val="en-US"/>
        </w:rPr>
        <w:t xml:space="preserve"> benefits are gleaned by implementing points 1 to 3. </w:t>
      </w:r>
    </w:p>
    <w:p w:rsidR="002679E7" w:rsidRDefault="003D4A97" w:rsidP="006A67A1">
      <w:pPr>
        <w:rPr>
          <w:rFonts w:ascii="Georgia" w:hAnsi="Georgia" w:cs="Arial"/>
          <w:color w:val="222222"/>
          <w:sz w:val="24"/>
          <w:szCs w:val="24"/>
          <w:lang w:val="en-US"/>
        </w:rPr>
      </w:pPr>
      <w:r w:rsidRPr="002679E7">
        <w:rPr>
          <w:rFonts w:ascii="Georgia" w:hAnsi="Georgia" w:cs="Arial"/>
          <w:color w:val="222222"/>
          <w:sz w:val="24"/>
          <w:szCs w:val="24"/>
          <w:lang w:val="en-US"/>
        </w:rPr>
        <w:t>In illustrating this point</w:t>
      </w:r>
      <w:r w:rsidR="002679E7">
        <w:rPr>
          <w:rFonts w:ascii="Georgia" w:hAnsi="Georgia" w:cs="Arial"/>
          <w:color w:val="222222"/>
          <w:sz w:val="24"/>
          <w:szCs w:val="24"/>
          <w:lang w:val="en-US"/>
        </w:rPr>
        <w:t xml:space="preserve"> about improving efficiency, </w:t>
      </w:r>
      <w:r w:rsidRPr="002679E7">
        <w:rPr>
          <w:rFonts w:ascii="Georgia" w:hAnsi="Georgia" w:cs="Arial"/>
          <w:color w:val="222222"/>
          <w:sz w:val="24"/>
          <w:szCs w:val="24"/>
          <w:lang w:val="en-US"/>
        </w:rPr>
        <w:t>I would like to share with you the data of one individual pharmacy owner/leader who constantly innovates</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w:t>
      </w:r>
      <w:r w:rsidR="002679E7">
        <w:rPr>
          <w:rFonts w:ascii="Georgia" w:hAnsi="Georgia" w:cs="Arial"/>
          <w:color w:val="222222"/>
          <w:sz w:val="24"/>
          <w:szCs w:val="24"/>
          <w:lang w:val="en-US"/>
        </w:rPr>
        <w:t>particularly in</w:t>
      </w:r>
      <w:r w:rsidRPr="002679E7">
        <w:rPr>
          <w:rFonts w:ascii="Georgia" w:hAnsi="Georgia" w:cs="Arial"/>
          <w:color w:val="222222"/>
          <w:sz w:val="24"/>
          <w:szCs w:val="24"/>
          <w:lang w:val="en-US"/>
        </w:rPr>
        <w:t xml:space="preserve"> d</w:t>
      </w:r>
      <w:r w:rsidR="002679E7">
        <w:rPr>
          <w:rFonts w:ascii="Georgia" w:hAnsi="Georgia" w:cs="Arial"/>
          <w:color w:val="222222"/>
          <w:sz w:val="24"/>
          <w:szCs w:val="24"/>
          <w:lang w:val="en-US"/>
        </w:rPr>
        <w:t>ispensary practice reformation.</w:t>
      </w:r>
    </w:p>
    <w:p w:rsidR="002679E7" w:rsidRDefault="00D4133D" w:rsidP="006A67A1">
      <w:pPr>
        <w:rPr>
          <w:rFonts w:ascii="Georgia" w:hAnsi="Georgia" w:cs="Arial"/>
          <w:color w:val="222222"/>
          <w:sz w:val="24"/>
          <w:szCs w:val="24"/>
          <w:lang w:val="en-US"/>
        </w:rPr>
      </w:pPr>
      <w:r w:rsidRPr="002679E7">
        <w:rPr>
          <w:rFonts w:ascii="Georgia" w:hAnsi="Georgia" w:cs="Arial"/>
          <w:color w:val="222222"/>
          <w:sz w:val="24"/>
          <w:szCs w:val="24"/>
          <w:lang w:val="en-US"/>
        </w:rPr>
        <w:t xml:space="preserve">Chart 1 compares the cost components of the traditional dispensary that costs $9 per script to operate versus an innovator where the cost per script is $7.67. The hourly wage rates (pharmacists $37/hr including penalty rates) and super of all staff are </w:t>
      </w:r>
      <w:r w:rsidR="00B702CB" w:rsidRPr="002679E7">
        <w:rPr>
          <w:rFonts w:ascii="Georgia" w:hAnsi="Georgia" w:cs="Arial"/>
          <w:color w:val="222222"/>
          <w:sz w:val="24"/>
          <w:szCs w:val="24"/>
          <w:lang w:val="en-US"/>
        </w:rPr>
        <w:t xml:space="preserve">virtually </w:t>
      </w:r>
      <w:r w:rsidRPr="002679E7">
        <w:rPr>
          <w:rFonts w:ascii="Georgia" w:hAnsi="Georgia" w:cs="Arial"/>
          <w:color w:val="222222"/>
          <w:sz w:val="24"/>
          <w:szCs w:val="24"/>
          <w:lang w:val="en-US"/>
        </w:rPr>
        <w:t xml:space="preserve">identical as are </w:t>
      </w:r>
      <w:r w:rsidR="002679E7">
        <w:rPr>
          <w:rFonts w:ascii="Georgia" w:hAnsi="Georgia" w:cs="Arial"/>
          <w:color w:val="222222"/>
          <w:sz w:val="24"/>
          <w:szCs w:val="24"/>
          <w:lang w:val="en-US"/>
        </w:rPr>
        <w:t>other costs which include rent.</w:t>
      </w:r>
    </w:p>
    <w:p w:rsidR="00856D88" w:rsidRPr="002679E7" w:rsidRDefault="002679E7" w:rsidP="006A67A1">
      <w:pPr>
        <w:rPr>
          <w:rFonts w:ascii="Georgia" w:hAnsi="Georgia" w:cs="Arial"/>
          <w:color w:val="222222"/>
          <w:sz w:val="24"/>
          <w:szCs w:val="24"/>
          <w:lang w:val="en-US"/>
        </w:rPr>
      </w:pPr>
      <w:r>
        <w:rPr>
          <w:rFonts w:ascii="Georgia" w:hAnsi="Georgia" w:cs="Arial"/>
          <w:color w:val="222222"/>
          <w:sz w:val="24"/>
          <w:szCs w:val="24"/>
          <w:lang w:val="en-US"/>
        </w:rPr>
        <w:t>In the innovator model, p</w:t>
      </w:r>
      <w:r w:rsidR="00D4133D" w:rsidRPr="002679E7">
        <w:rPr>
          <w:rFonts w:ascii="Georgia" w:hAnsi="Georgia" w:cs="Arial"/>
          <w:color w:val="222222"/>
          <w:sz w:val="24"/>
          <w:szCs w:val="24"/>
          <w:lang w:val="en-US"/>
        </w:rPr>
        <w:t xml:space="preserve">harmacists and assistants spend a lot less time in the dispensary process </w:t>
      </w:r>
      <w:r w:rsidR="001C75BE" w:rsidRPr="002679E7">
        <w:rPr>
          <w:rFonts w:ascii="Georgia" w:hAnsi="Georgia" w:cs="Arial"/>
          <w:color w:val="222222"/>
          <w:sz w:val="24"/>
          <w:szCs w:val="24"/>
          <w:lang w:val="en-US"/>
        </w:rPr>
        <w:t>because technicians take over the dispensing administration role and pharmacists assume the role of assistants engaging customers at scri</w:t>
      </w:r>
      <w:r>
        <w:rPr>
          <w:rFonts w:ascii="Georgia" w:hAnsi="Georgia" w:cs="Arial"/>
          <w:color w:val="222222"/>
          <w:sz w:val="24"/>
          <w:szCs w:val="24"/>
          <w:lang w:val="en-US"/>
        </w:rPr>
        <w:t>pt out and script in during non-</w:t>
      </w:r>
      <w:r w:rsidR="001C75BE" w:rsidRPr="002679E7">
        <w:rPr>
          <w:rFonts w:ascii="Georgia" w:hAnsi="Georgia" w:cs="Arial"/>
          <w:color w:val="222222"/>
          <w:sz w:val="24"/>
          <w:szCs w:val="24"/>
          <w:lang w:val="en-US"/>
        </w:rPr>
        <w:t xml:space="preserve">peak period times. Therefore, </w:t>
      </w:r>
      <w:r>
        <w:rPr>
          <w:rFonts w:ascii="Georgia" w:hAnsi="Georgia" w:cs="Arial"/>
          <w:color w:val="222222"/>
          <w:sz w:val="24"/>
          <w:szCs w:val="24"/>
          <w:lang w:val="en-US"/>
        </w:rPr>
        <w:t>the overall cost-per-script-staff-</w:t>
      </w:r>
      <w:r w:rsidR="002B52FA" w:rsidRPr="002679E7">
        <w:rPr>
          <w:rFonts w:ascii="Georgia" w:hAnsi="Georgia" w:cs="Arial"/>
          <w:color w:val="222222"/>
          <w:sz w:val="24"/>
          <w:szCs w:val="24"/>
          <w:lang w:val="en-US"/>
        </w:rPr>
        <w:t xml:space="preserve">investment pattern changed markedly: </w:t>
      </w:r>
      <w:r w:rsidR="001C75BE" w:rsidRPr="002679E7">
        <w:rPr>
          <w:rFonts w:ascii="Georgia" w:hAnsi="Georgia" w:cs="Arial"/>
          <w:color w:val="222222"/>
          <w:sz w:val="24"/>
          <w:szCs w:val="24"/>
          <w:lang w:val="en-US"/>
        </w:rPr>
        <w:t>pharmacists</w:t>
      </w:r>
      <w:r w:rsidR="002B52FA" w:rsidRPr="002679E7">
        <w:rPr>
          <w:rFonts w:ascii="Georgia" w:hAnsi="Georgia" w:cs="Arial"/>
          <w:color w:val="222222"/>
          <w:sz w:val="24"/>
          <w:szCs w:val="24"/>
          <w:lang w:val="en-US"/>
        </w:rPr>
        <w:t xml:space="preserve"> cost per script reduced by 82c from $3.92 to $3.10 while assistants dropped by 98c replaced to some extent by tec</w:t>
      </w:r>
      <w:r>
        <w:rPr>
          <w:rFonts w:ascii="Georgia" w:hAnsi="Georgia" w:cs="Arial"/>
          <w:color w:val="222222"/>
          <w:sz w:val="24"/>
          <w:szCs w:val="24"/>
          <w:lang w:val="en-US"/>
        </w:rPr>
        <w:t xml:space="preserve">hnician cost increasing by 75c. </w:t>
      </w:r>
      <w:r w:rsidR="002B52FA" w:rsidRPr="002679E7">
        <w:rPr>
          <w:rFonts w:ascii="Georgia" w:hAnsi="Georgia" w:cs="Arial"/>
          <w:color w:val="222222"/>
          <w:sz w:val="24"/>
          <w:szCs w:val="24"/>
          <w:lang w:val="en-US"/>
        </w:rPr>
        <w:t>Overall the efficient dispensary generated a process efficiency dividend of $1.33 per script which is equivalent to about two minutes per script time saved that can be released for other activities principally the pharmacist now script checking and most importantly patient engagement delivering quality service, services, minor ailment solutions and making robust health solution recommendations</w:t>
      </w:r>
      <w:r w:rsidR="009825EA" w:rsidRPr="002679E7">
        <w:rPr>
          <w:rFonts w:ascii="Georgia" w:hAnsi="Georgia" w:cs="Arial"/>
          <w:color w:val="222222"/>
          <w:sz w:val="24"/>
          <w:szCs w:val="24"/>
          <w:lang w:val="en-US"/>
        </w:rPr>
        <w:t xml:space="preserve"> aimed at improving patient health. This role of the pharmacist is very productive, financially rewarding and competitive. </w:t>
      </w:r>
      <w:r w:rsidR="002B52FA" w:rsidRPr="002679E7">
        <w:rPr>
          <w:rFonts w:ascii="Georgia" w:hAnsi="Georgia" w:cs="Arial"/>
          <w:color w:val="222222"/>
          <w:sz w:val="24"/>
          <w:szCs w:val="24"/>
          <w:lang w:val="en-US"/>
        </w:rPr>
        <w:t xml:space="preserve">  </w:t>
      </w:r>
      <w:r w:rsidR="001C75BE" w:rsidRPr="002679E7">
        <w:rPr>
          <w:rFonts w:ascii="Georgia" w:hAnsi="Georgia" w:cs="Arial"/>
          <w:color w:val="222222"/>
          <w:sz w:val="24"/>
          <w:szCs w:val="24"/>
          <w:lang w:val="en-US"/>
        </w:rPr>
        <w:t xml:space="preserve">    </w:t>
      </w:r>
      <w:r w:rsidR="00D4133D" w:rsidRPr="002679E7">
        <w:rPr>
          <w:rFonts w:ascii="Georgia" w:hAnsi="Georgia" w:cs="Arial"/>
          <w:color w:val="222222"/>
          <w:sz w:val="24"/>
          <w:szCs w:val="24"/>
          <w:lang w:val="en-US"/>
        </w:rPr>
        <w:t xml:space="preserve"> </w:t>
      </w:r>
    </w:p>
    <w:p w:rsidR="003D4A97" w:rsidRPr="002679E7" w:rsidRDefault="00D4133D" w:rsidP="006A67A1">
      <w:pPr>
        <w:rPr>
          <w:rFonts w:ascii="Georgia" w:hAnsi="Georgia" w:cs="Arial"/>
          <w:color w:val="222222"/>
          <w:sz w:val="24"/>
          <w:szCs w:val="24"/>
          <w:lang w:val="en-US"/>
        </w:rPr>
      </w:pPr>
      <w:r w:rsidRPr="002679E7">
        <w:rPr>
          <w:rFonts w:ascii="Georgia" w:hAnsi="Georgia" w:cs="Arial"/>
          <w:noProof/>
          <w:color w:val="222222"/>
          <w:sz w:val="24"/>
          <w:szCs w:val="24"/>
          <w:lang w:eastAsia="en-AU"/>
        </w:rPr>
        <w:lastRenderedPageBreak/>
        <w:drawing>
          <wp:inline distT="0" distB="0" distL="0" distR="0" wp14:anchorId="7693EFCD" wp14:editId="24637114">
            <wp:extent cx="5876925" cy="2621280"/>
            <wp:effectExtent l="19050" t="0" r="952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0046" w:rsidRPr="002679E7" w:rsidRDefault="00820046" w:rsidP="006A67A1">
      <w:pPr>
        <w:rPr>
          <w:rFonts w:ascii="Georgia" w:hAnsi="Georgia" w:cs="Arial"/>
          <w:color w:val="222222"/>
          <w:sz w:val="24"/>
          <w:szCs w:val="24"/>
          <w:lang w:val="en-US"/>
        </w:rPr>
      </w:pPr>
    </w:p>
    <w:p w:rsidR="00193C58" w:rsidRPr="002679E7" w:rsidRDefault="00B702CB" w:rsidP="006A67A1">
      <w:pPr>
        <w:rPr>
          <w:rFonts w:ascii="Georgia" w:hAnsi="Georgia" w:cs="Arial"/>
          <w:color w:val="222222"/>
          <w:sz w:val="24"/>
          <w:szCs w:val="24"/>
          <w:lang w:val="en-US"/>
        </w:rPr>
      </w:pPr>
      <w:r w:rsidRPr="002679E7">
        <w:rPr>
          <w:rFonts w:ascii="Georgia" w:hAnsi="Georgia" w:cs="Arial"/>
          <w:color w:val="222222"/>
          <w:sz w:val="24"/>
          <w:szCs w:val="24"/>
          <w:lang w:val="en-US"/>
        </w:rPr>
        <w:t xml:space="preserve">These are the </w:t>
      </w:r>
      <w:r w:rsidR="002679E7">
        <w:rPr>
          <w:rFonts w:ascii="Georgia" w:hAnsi="Georgia" w:cs="Arial"/>
          <w:color w:val="222222"/>
          <w:sz w:val="24"/>
          <w:szCs w:val="24"/>
          <w:lang w:val="en-US"/>
        </w:rPr>
        <w:t xml:space="preserve">simple </w:t>
      </w:r>
      <w:r w:rsidRPr="002679E7">
        <w:rPr>
          <w:rFonts w:ascii="Georgia" w:hAnsi="Georgia" w:cs="Arial"/>
          <w:color w:val="222222"/>
          <w:sz w:val="24"/>
          <w:szCs w:val="24"/>
          <w:lang w:val="en-US"/>
        </w:rPr>
        <w:t xml:space="preserve">facts and demonstrate how any pharmacy can identify </w:t>
      </w:r>
      <w:r w:rsidR="002679E7">
        <w:rPr>
          <w:rFonts w:ascii="Georgia" w:hAnsi="Georgia" w:cs="Arial"/>
          <w:color w:val="222222"/>
          <w:sz w:val="24"/>
          <w:szCs w:val="24"/>
          <w:lang w:val="en-US"/>
        </w:rPr>
        <w:t xml:space="preserve">and develop </w:t>
      </w:r>
      <w:r w:rsidRPr="002679E7">
        <w:rPr>
          <w:rFonts w:ascii="Georgia" w:hAnsi="Georgia" w:cs="Arial"/>
          <w:color w:val="222222"/>
          <w:sz w:val="24"/>
          <w:szCs w:val="24"/>
          <w:lang w:val="en-US"/>
        </w:rPr>
        <w:t>the dispensary as the most important area owners and pharmacists can influence that will make an appreciable difference</w:t>
      </w:r>
      <w:r w:rsidR="002679E7">
        <w:rPr>
          <w:rFonts w:ascii="Georgia" w:hAnsi="Georgia" w:cs="Arial"/>
          <w:color w:val="222222"/>
          <w:sz w:val="24"/>
          <w:szCs w:val="24"/>
          <w:lang w:val="en-US"/>
        </w:rPr>
        <w:t xml:space="preserve"> with the added benefit of diverting the</w:t>
      </w:r>
      <w:r w:rsidRPr="002679E7">
        <w:rPr>
          <w:rFonts w:ascii="Georgia" w:hAnsi="Georgia" w:cs="Arial"/>
          <w:color w:val="222222"/>
          <w:sz w:val="24"/>
          <w:szCs w:val="24"/>
          <w:lang w:val="en-US"/>
        </w:rPr>
        <w:t xml:space="preserve"> pharmacist</w:t>
      </w:r>
      <w:r w:rsidR="002679E7">
        <w:rPr>
          <w:rFonts w:ascii="Georgia" w:hAnsi="Georgia" w:cs="Arial"/>
          <w:color w:val="222222"/>
          <w:sz w:val="24"/>
          <w:szCs w:val="24"/>
          <w:lang w:val="en-US"/>
        </w:rPr>
        <w:t>’s</w:t>
      </w:r>
      <w:r w:rsidRPr="002679E7">
        <w:rPr>
          <w:rFonts w:ascii="Georgia" w:hAnsi="Georgia" w:cs="Arial"/>
          <w:color w:val="222222"/>
          <w:sz w:val="24"/>
          <w:szCs w:val="24"/>
          <w:lang w:val="en-US"/>
        </w:rPr>
        <w:t xml:space="preserve"> time</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and the owners investment</w:t>
      </w:r>
      <w:r w:rsidR="002679E7">
        <w:rPr>
          <w:rFonts w:ascii="Georgia" w:hAnsi="Georgia" w:cs="Arial"/>
          <w:color w:val="222222"/>
          <w:sz w:val="24"/>
          <w:szCs w:val="24"/>
          <w:lang w:val="en-US"/>
        </w:rPr>
        <w:t>,</w:t>
      </w:r>
      <w:r w:rsidRPr="002679E7">
        <w:rPr>
          <w:rFonts w:ascii="Georgia" w:hAnsi="Georgia" w:cs="Arial"/>
          <w:color w:val="222222"/>
          <w:sz w:val="24"/>
          <w:szCs w:val="24"/>
          <w:lang w:val="en-US"/>
        </w:rPr>
        <w:t xml:space="preserve"> in those skills into highly productive activities.</w:t>
      </w:r>
    </w:p>
    <w:p w:rsidR="00B14DD9" w:rsidRPr="002679E7" w:rsidRDefault="00B14DD9" w:rsidP="00B14DD9">
      <w:pPr>
        <w:pStyle w:val="NormalWeb"/>
        <w:shd w:val="clear" w:color="auto" w:fill="FFFFFF"/>
        <w:rPr>
          <w:rFonts w:ascii="Georgia" w:hAnsi="Georgia" w:cs="Arial"/>
          <w:color w:val="222222"/>
          <w:lang w:val="en-US"/>
        </w:rPr>
      </w:pPr>
    </w:p>
    <w:p w:rsidR="00B14DD9" w:rsidRPr="002679E7" w:rsidRDefault="002679E7" w:rsidP="006A67A1">
      <w:pPr>
        <w:rPr>
          <w:rFonts w:ascii="Georgia" w:hAnsi="Georgia"/>
          <w:sz w:val="24"/>
          <w:szCs w:val="24"/>
        </w:rPr>
      </w:pPr>
      <w:r>
        <w:rPr>
          <w:rFonts w:ascii="Georgia" w:hAnsi="Georgia"/>
          <w:sz w:val="24"/>
          <w:szCs w:val="24"/>
        </w:rPr>
        <w:t>***ends</w:t>
      </w:r>
    </w:p>
    <w:sectPr w:rsidR="00B14DD9" w:rsidRPr="002679E7" w:rsidSect="00294146">
      <w:headerReference w:type="default" r:id="rId10"/>
      <w:footerReference w:type="first" r:id="rId11"/>
      <w:pgSz w:w="11907" w:h="16839" w:code="9"/>
      <w:pgMar w:top="1418" w:right="1797" w:bottom="1418" w:left="1985" w:header="822"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FA" w:rsidRDefault="002B52FA" w:rsidP="00C471BF">
      <w:pPr>
        <w:spacing w:after="0"/>
      </w:pPr>
      <w:r>
        <w:separator/>
      </w:r>
    </w:p>
  </w:endnote>
  <w:endnote w:type="continuationSeparator" w:id="0">
    <w:p w:rsidR="002B52FA" w:rsidRDefault="002B52FA" w:rsidP="00C47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FA" w:rsidRPr="00F61D26" w:rsidRDefault="002B52FA" w:rsidP="00F61D26">
    <w:pPr>
      <w:pStyle w:val="Footer"/>
      <w:ind w:left="-99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FA" w:rsidRDefault="002B52FA" w:rsidP="00C471BF">
      <w:pPr>
        <w:spacing w:after="0"/>
      </w:pPr>
      <w:r>
        <w:separator/>
      </w:r>
    </w:p>
  </w:footnote>
  <w:footnote w:type="continuationSeparator" w:id="0">
    <w:p w:rsidR="002B52FA" w:rsidRDefault="002B52FA" w:rsidP="00C471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6400"/>
      <w:docPartObj>
        <w:docPartGallery w:val="Page Numbers (Top of Page)"/>
        <w:docPartUnique/>
      </w:docPartObj>
    </w:sdtPr>
    <w:sdtEndPr/>
    <w:sdtContent>
      <w:p w:rsidR="002B52FA" w:rsidRDefault="002679E7">
        <w:pPr>
          <w:pStyle w:val="Header"/>
          <w:jc w:val="center"/>
        </w:pPr>
        <w:r>
          <w:fldChar w:fldCharType="begin"/>
        </w:r>
        <w:r>
          <w:instrText xml:space="preserve"> PAGE   \* MERGEFORMAT </w:instrText>
        </w:r>
        <w:r>
          <w:fldChar w:fldCharType="separate"/>
        </w:r>
        <w:r w:rsidR="00361284">
          <w:rPr>
            <w:noProof/>
          </w:rPr>
          <w:t>2</w:t>
        </w:r>
        <w:r>
          <w:rPr>
            <w:noProof/>
          </w:rPr>
          <w:fldChar w:fldCharType="end"/>
        </w:r>
      </w:p>
    </w:sdtContent>
  </w:sdt>
  <w:p w:rsidR="002B52FA" w:rsidRDefault="002B5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C28"/>
    <w:multiLevelType w:val="hybridMultilevel"/>
    <w:tmpl w:val="D1F2B26E"/>
    <w:lvl w:ilvl="0" w:tplc="0C090005">
      <w:start w:val="1"/>
      <w:numFmt w:val="bullet"/>
      <w:lvlText w:val=""/>
      <w:lvlJc w:val="left"/>
      <w:pPr>
        <w:ind w:left="3585" w:hanging="360"/>
      </w:pPr>
      <w:rPr>
        <w:rFonts w:ascii="Wingdings" w:hAnsi="Wingdings" w:hint="default"/>
      </w:rPr>
    </w:lvl>
    <w:lvl w:ilvl="1" w:tplc="0C090003" w:tentative="1">
      <w:start w:val="1"/>
      <w:numFmt w:val="bullet"/>
      <w:lvlText w:val="o"/>
      <w:lvlJc w:val="left"/>
      <w:pPr>
        <w:ind w:left="4305" w:hanging="360"/>
      </w:pPr>
      <w:rPr>
        <w:rFonts w:ascii="Device Font 10cpi" w:hAnsi="Device Font 10cpi"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Device Font 10cpi" w:hAnsi="Device Font 10cpi"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Device Font 10cpi" w:hAnsi="Device Font 10cpi" w:hint="default"/>
      </w:rPr>
    </w:lvl>
    <w:lvl w:ilvl="8" w:tplc="0C090005" w:tentative="1">
      <w:start w:val="1"/>
      <w:numFmt w:val="bullet"/>
      <w:lvlText w:val=""/>
      <w:lvlJc w:val="left"/>
      <w:pPr>
        <w:ind w:left="9345" w:hanging="360"/>
      </w:pPr>
      <w:rPr>
        <w:rFonts w:ascii="Wingdings" w:hAnsi="Wingdings" w:hint="default"/>
      </w:rPr>
    </w:lvl>
  </w:abstractNum>
  <w:abstractNum w:abstractNumId="1">
    <w:nsid w:val="0CC47113"/>
    <w:multiLevelType w:val="hybridMultilevel"/>
    <w:tmpl w:val="33E2B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Device Font 10cpi" w:hAnsi="Device Font 10cp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Device Font 10cpi" w:hAnsi="Device Font 10cp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Device Font 10cpi" w:hAnsi="Device Font 10cpi"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71061"/>
    <w:multiLevelType w:val="hybridMultilevel"/>
    <w:tmpl w:val="3162C1BE"/>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Device Font 10cpi" w:hAnsi="Device Font 10cpi"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Device Font 10cpi" w:hAnsi="Device Font 10cpi"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Device Font 10cpi" w:hAnsi="Device Font 10cpi" w:hint="default"/>
      </w:rPr>
    </w:lvl>
    <w:lvl w:ilvl="8" w:tplc="0C090005" w:tentative="1">
      <w:start w:val="1"/>
      <w:numFmt w:val="bullet"/>
      <w:lvlText w:val=""/>
      <w:lvlJc w:val="left"/>
      <w:pPr>
        <w:ind w:left="9345" w:hanging="360"/>
      </w:pPr>
      <w:rPr>
        <w:rFonts w:ascii="Wingdings" w:hAnsi="Wingdings" w:hint="default"/>
      </w:rPr>
    </w:lvl>
  </w:abstractNum>
  <w:abstractNum w:abstractNumId="3">
    <w:nsid w:val="38845532"/>
    <w:multiLevelType w:val="hybridMultilevel"/>
    <w:tmpl w:val="BDF2633E"/>
    <w:lvl w:ilvl="0" w:tplc="B01A5344">
      <w:start w:val="1"/>
      <w:numFmt w:val="bullet"/>
      <w:pStyle w:val="BulletPoint"/>
      <w:lvlText w:val=""/>
      <w:lvlJc w:val="left"/>
      <w:pPr>
        <w:ind w:left="3585" w:hanging="360"/>
      </w:pPr>
      <w:rPr>
        <w:rFonts w:ascii="Wingdings" w:hAnsi="Wingdings" w:hint="default"/>
      </w:rPr>
    </w:lvl>
    <w:lvl w:ilvl="1" w:tplc="0C090003" w:tentative="1">
      <w:start w:val="1"/>
      <w:numFmt w:val="bullet"/>
      <w:lvlText w:val="o"/>
      <w:lvlJc w:val="left"/>
      <w:pPr>
        <w:ind w:left="4305" w:hanging="360"/>
      </w:pPr>
      <w:rPr>
        <w:rFonts w:ascii="Device Font 10cpi" w:hAnsi="Device Font 10cpi"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Device Font 10cpi" w:hAnsi="Device Font 10cpi"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Device Font 10cpi" w:hAnsi="Device Font 10cpi" w:hint="default"/>
      </w:rPr>
    </w:lvl>
    <w:lvl w:ilvl="8" w:tplc="0C090005" w:tentative="1">
      <w:start w:val="1"/>
      <w:numFmt w:val="bullet"/>
      <w:lvlText w:val=""/>
      <w:lvlJc w:val="left"/>
      <w:pPr>
        <w:ind w:left="9345" w:hanging="360"/>
      </w:pPr>
      <w:rPr>
        <w:rFonts w:ascii="Wingdings" w:hAnsi="Wingdings" w:hint="default"/>
      </w:rPr>
    </w:lvl>
  </w:abstractNum>
  <w:abstractNum w:abstractNumId="4">
    <w:nsid w:val="4DBB52E5"/>
    <w:multiLevelType w:val="hybridMultilevel"/>
    <w:tmpl w:val="E14CD9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Device Font 10cpi" w:hAnsi="Device Font 10cp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Device Font 10cpi" w:hAnsi="Device Font 10cp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Device Font 10cpi" w:hAnsi="Device Font 10cpi"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C375EB"/>
    <w:multiLevelType w:val="hybridMultilevel"/>
    <w:tmpl w:val="06DEB76C"/>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Device Font 10cpi" w:hAnsi="Device Font 10cpi"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Device Font 10cpi" w:hAnsi="Device Font 10cpi"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Device Font 10cpi" w:hAnsi="Device Font 10cpi" w:hint="default"/>
      </w:rPr>
    </w:lvl>
    <w:lvl w:ilvl="8" w:tplc="0C090005" w:tentative="1">
      <w:start w:val="1"/>
      <w:numFmt w:val="bullet"/>
      <w:lvlText w:val=""/>
      <w:lvlJc w:val="left"/>
      <w:pPr>
        <w:ind w:left="9345" w:hanging="360"/>
      </w:pPr>
      <w:rPr>
        <w:rFonts w:ascii="Wingdings" w:hAnsi="Wingdings" w:hint="default"/>
      </w:rPr>
    </w:lvl>
  </w:abstractNum>
  <w:abstractNum w:abstractNumId="6">
    <w:nsid w:val="51D92F18"/>
    <w:multiLevelType w:val="hybridMultilevel"/>
    <w:tmpl w:val="B216843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7">
    <w:nsid w:val="566B116D"/>
    <w:multiLevelType w:val="multilevel"/>
    <w:tmpl w:val="5EBCCF92"/>
    <w:lvl w:ilvl="0">
      <w:start w:val="1"/>
      <w:numFmt w:val="decimal"/>
      <w:pStyle w:val="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A4"/>
    <w:rsid w:val="00056EDC"/>
    <w:rsid w:val="00096453"/>
    <w:rsid w:val="000A72B9"/>
    <w:rsid w:val="00193C58"/>
    <w:rsid w:val="001C75BE"/>
    <w:rsid w:val="0024161B"/>
    <w:rsid w:val="00246091"/>
    <w:rsid w:val="00263428"/>
    <w:rsid w:val="002679E7"/>
    <w:rsid w:val="00294146"/>
    <w:rsid w:val="002B52FA"/>
    <w:rsid w:val="00312AAE"/>
    <w:rsid w:val="00361284"/>
    <w:rsid w:val="00361B19"/>
    <w:rsid w:val="003A155D"/>
    <w:rsid w:val="003A27FF"/>
    <w:rsid w:val="003C5A99"/>
    <w:rsid w:val="003D4A97"/>
    <w:rsid w:val="003F3BE4"/>
    <w:rsid w:val="00442C03"/>
    <w:rsid w:val="00466672"/>
    <w:rsid w:val="00476412"/>
    <w:rsid w:val="004F55CD"/>
    <w:rsid w:val="0057229B"/>
    <w:rsid w:val="00576873"/>
    <w:rsid w:val="00586016"/>
    <w:rsid w:val="005B2FF1"/>
    <w:rsid w:val="005E2D4A"/>
    <w:rsid w:val="005E5482"/>
    <w:rsid w:val="006A67A1"/>
    <w:rsid w:val="006C54AE"/>
    <w:rsid w:val="006E5829"/>
    <w:rsid w:val="006F0FCE"/>
    <w:rsid w:val="00747034"/>
    <w:rsid w:val="00766958"/>
    <w:rsid w:val="00790B0E"/>
    <w:rsid w:val="00795600"/>
    <w:rsid w:val="007C4311"/>
    <w:rsid w:val="007D76C6"/>
    <w:rsid w:val="007E2E2E"/>
    <w:rsid w:val="007E3355"/>
    <w:rsid w:val="007E52A7"/>
    <w:rsid w:val="00820046"/>
    <w:rsid w:val="00825DCE"/>
    <w:rsid w:val="0085431A"/>
    <w:rsid w:val="00856D88"/>
    <w:rsid w:val="00860578"/>
    <w:rsid w:val="00891975"/>
    <w:rsid w:val="008A75A4"/>
    <w:rsid w:val="009122C0"/>
    <w:rsid w:val="00924671"/>
    <w:rsid w:val="00963626"/>
    <w:rsid w:val="009652C8"/>
    <w:rsid w:val="009664D2"/>
    <w:rsid w:val="00966F92"/>
    <w:rsid w:val="009825EA"/>
    <w:rsid w:val="009A046E"/>
    <w:rsid w:val="00A41999"/>
    <w:rsid w:val="00A974F9"/>
    <w:rsid w:val="00AA005B"/>
    <w:rsid w:val="00B12C35"/>
    <w:rsid w:val="00B14DD9"/>
    <w:rsid w:val="00B702CB"/>
    <w:rsid w:val="00B75586"/>
    <w:rsid w:val="00C471BF"/>
    <w:rsid w:val="00CA2228"/>
    <w:rsid w:val="00CB31EE"/>
    <w:rsid w:val="00CF4A2D"/>
    <w:rsid w:val="00D0136B"/>
    <w:rsid w:val="00D14A34"/>
    <w:rsid w:val="00D4133D"/>
    <w:rsid w:val="00D82A7E"/>
    <w:rsid w:val="00DC3A2B"/>
    <w:rsid w:val="00DC6AC9"/>
    <w:rsid w:val="00E14517"/>
    <w:rsid w:val="00E756C1"/>
    <w:rsid w:val="00E97333"/>
    <w:rsid w:val="00EC0BCB"/>
    <w:rsid w:val="00F01014"/>
    <w:rsid w:val="00F26BA9"/>
    <w:rsid w:val="00F329EE"/>
    <w:rsid w:val="00F55632"/>
    <w:rsid w:val="00F61D26"/>
    <w:rsid w:val="00F8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D26"/>
    <w:pPr>
      <w:spacing w:before="120" w:after="120"/>
    </w:pPr>
    <w:rPr>
      <w:sz w:val="22"/>
      <w:szCs w:val="22"/>
      <w:lang w:eastAsia="en-US"/>
    </w:rPr>
  </w:style>
  <w:style w:type="paragraph" w:styleId="Heading1">
    <w:name w:val="heading 1"/>
    <w:basedOn w:val="Normal"/>
    <w:next w:val="Normal"/>
    <w:link w:val="Heading1Char"/>
    <w:uiPriority w:val="9"/>
    <w:qFormat/>
    <w:rsid w:val="00CF4A2D"/>
    <w:pPr>
      <w:keepNext/>
      <w:keepLines/>
      <w:spacing w:after="60" w:line="300" w:lineRule="atLeast"/>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F61D26"/>
    <w:pPr>
      <w:keepNext/>
      <w:keepLines/>
      <w:spacing w:after="60" w:line="300" w:lineRule="atLeast"/>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BF"/>
    <w:pPr>
      <w:tabs>
        <w:tab w:val="center" w:pos="4513"/>
        <w:tab w:val="right" w:pos="9026"/>
      </w:tabs>
      <w:spacing w:after="0"/>
    </w:pPr>
  </w:style>
  <w:style w:type="character" w:customStyle="1" w:styleId="HeaderChar">
    <w:name w:val="Header Char"/>
    <w:basedOn w:val="DefaultParagraphFont"/>
    <w:link w:val="Header"/>
    <w:uiPriority w:val="99"/>
    <w:rsid w:val="00C471BF"/>
    <w:rPr>
      <w:lang w:val="en-AU"/>
    </w:rPr>
  </w:style>
  <w:style w:type="paragraph" w:styleId="Footer">
    <w:name w:val="footer"/>
    <w:basedOn w:val="Normal"/>
    <w:link w:val="FooterChar"/>
    <w:uiPriority w:val="99"/>
    <w:semiHidden/>
    <w:unhideWhenUsed/>
    <w:rsid w:val="00C471BF"/>
    <w:pPr>
      <w:tabs>
        <w:tab w:val="center" w:pos="4513"/>
        <w:tab w:val="right" w:pos="9026"/>
      </w:tabs>
      <w:spacing w:after="0"/>
    </w:pPr>
  </w:style>
  <w:style w:type="character" w:customStyle="1" w:styleId="FooterChar">
    <w:name w:val="Footer Char"/>
    <w:basedOn w:val="DefaultParagraphFont"/>
    <w:link w:val="Footer"/>
    <w:uiPriority w:val="99"/>
    <w:semiHidden/>
    <w:rsid w:val="00C471BF"/>
    <w:rPr>
      <w:lang w:val="en-AU"/>
    </w:rPr>
  </w:style>
  <w:style w:type="character" w:customStyle="1" w:styleId="Heading1Char">
    <w:name w:val="Heading 1 Char"/>
    <w:basedOn w:val="DefaultParagraphFont"/>
    <w:link w:val="Heading1"/>
    <w:uiPriority w:val="9"/>
    <w:rsid w:val="00CF4A2D"/>
    <w:rPr>
      <w:rFonts w:asciiTheme="majorHAnsi" w:eastAsiaTheme="majorEastAsia" w:hAnsiTheme="majorHAnsi" w:cstheme="majorBidi"/>
      <w:b/>
      <w:bCs/>
      <w:sz w:val="22"/>
      <w:szCs w:val="28"/>
      <w:lang w:eastAsia="en-US"/>
    </w:rPr>
  </w:style>
  <w:style w:type="character" w:customStyle="1" w:styleId="Heading2Char">
    <w:name w:val="Heading 2 Char"/>
    <w:basedOn w:val="DefaultParagraphFont"/>
    <w:link w:val="Heading2"/>
    <w:uiPriority w:val="9"/>
    <w:rsid w:val="00F61D26"/>
    <w:rPr>
      <w:rFonts w:asciiTheme="majorHAnsi" w:eastAsiaTheme="majorEastAsia" w:hAnsiTheme="majorHAnsi" w:cstheme="majorBidi"/>
      <w:bCs/>
      <w:i/>
      <w:sz w:val="22"/>
      <w:szCs w:val="26"/>
      <w:lang w:eastAsia="en-US"/>
    </w:rPr>
  </w:style>
  <w:style w:type="paragraph" w:styleId="ListParagraph">
    <w:name w:val="List Paragraph"/>
    <w:basedOn w:val="Normal"/>
    <w:link w:val="ListParagraphChar"/>
    <w:uiPriority w:val="34"/>
    <w:rsid w:val="00F61D26"/>
    <w:pPr>
      <w:ind w:left="720"/>
      <w:contextualSpacing/>
    </w:pPr>
  </w:style>
  <w:style w:type="paragraph" w:customStyle="1" w:styleId="Numbered">
    <w:name w:val="Numbered"/>
    <w:basedOn w:val="ListParagraph"/>
    <w:link w:val="NumberedChar"/>
    <w:qFormat/>
    <w:rsid w:val="00F61D26"/>
    <w:pPr>
      <w:numPr>
        <w:numId w:val="1"/>
      </w:numPr>
      <w:spacing w:after="0"/>
    </w:pPr>
    <w:rPr>
      <w:rFonts w:asciiTheme="minorHAnsi" w:hAnsiTheme="minorHAnsi" w:cs="Arial"/>
    </w:rPr>
  </w:style>
  <w:style w:type="paragraph" w:customStyle="1" w:styleId="BulletPoint">
    <w:name w:val="Bullet Point"/>
    <w:link w:val="BulletPointChar"/>
    <w:qFormat/>
    <w:rsid w:val="005B2FF1"/>
    <w:pPr>
      <w:numPr>
        <w:numId w:val="7"/>
      </w:numPr>
      <w:ind w:left="357" w:hanging="357"/>
    </w:pPr>
    <w:rPr>
      <w:sz w:val="22"/>
      <w:szCs w:val="22"/>
      <w:lang w:eastAsia="en-US"/>
    </w:rPr>
  </w:style>
  <w:style w:type="character" w:customStyle="1" w:styleId="ListParagraphChar">
    <w:name w:val="List Paragraph Char"/>
    <w:basedOn w:val="DefaultParagraphFont"/>
    <w:link w:val="ListParagraph"/>
    <w:uiPriority w:val="34"/>
    <w:rsid w:val="00F61D26"/>
    <w:rPr>
      <w:sz w:val="22"/>
      <w:szCs w:val="22"/>
      <w:lang w:eastAsia="en-US"/>
    </w:rPr>
  </w:style>
  <w:style w:type="character" w:customStyle="1" w:styleId="NumberedChar">
    <w:name w:val="Numbered Char"/>
    <w:basedOn w:val="ListParagraphChar"/>
    <w:link w:val="Numbered"/>
    <w:rsid w:val="00F61D26"/>
    <w:rPr>
      <w:sz w:val="22"/>
      <w:szCs w:val="22"/>
      <w:lang w:eastAsia="en-US"/>
    </w:rPr>
  </w:style>
  <w:style w:type="character" w:customStyle="1" w:styleId="BulletPointChar">
    <w:name w:val="Bullet Point Char"/>
    <w:basedOn w:val="ListParagraphChar"/>
    <w:link w:val="BulletPoint"/>
    <w:rsid w:val="005B2FF1"/>
    <w:rPr>
      <w:sz w:val="22"/>
      <w:szCs w:val="22"/>
      <w:lang w:eastAsia="en-US"/>
    </w:rPr>
  </w:style>
  <w:style w:type="paragraph" w:customStyle="1" w:styleId="AddressSignature">
    <w:name w:val="Address &amp; Signature"/>
    <w:basedOn w:val="Normal"/>
    <w:link w:val="AddressSignatureChar"/>
    <w:qFormat/>
    <w:rsid w:val="00CF4A2D"/>
    <w:pPr>
      <w:spacing w:before="0" w:after="0"/>
    </w:pPr>
  </w:style>
  <w:style w:type="paragraph" w:customStyle="1" w:styleId="PPSalutation">
    <w:name w:val="PP Salutation"/>
    <w:basedOn w:val="Normal"/>
    <w:link w:val="PPSalutationChar"/>
    <w:qFormat/>
    <w:rsid w:val="00CF4A2D"/>
    <w:pPr>
      <w:spacing w:after="60" w:line="300" w:lineRule="atLeast"/>
    </w:pPr>
  </w:style>
  <w:style w:type="character" w:customStyle="1" w:styleId="AddressSignatureChar">
    <w:name w:val="Address &amp; Signature Char"/>
    <w:basedOn w:val="DefaultParagraphFont"/>
    <w:link w:val="AddressSignature"/>
    <w:rsid w:val="00CF4A2D"/>
    <w:rPr>
      <w:sz w:val="22"/>
      <w:szCs w:val="22"/>
      <w:lang w:eastAsia="en-US"/>
    </w:rPr>
  </w:style>
  <w:style w:type="paragraph" w:customStyle="1" w:styleId="PPSubjectLine">
    <w:name w:val="PP Subject Line"/>
    <w:basedOn w:val="Normal"/>
    <w:link w:val="PPSubjectLineChar"/>
    <w:qFormat/>
    <w:rsid w:val="00CF4A2D"/>
    <w:pPr>
      <w:spacing w:after="60" w:line="300" w:lineRule="atLeast"/>
    </w:pPr>
    <w:rPr>
      <w:b/>
      <w:caps/>
    </w:rPr>
  </w:style>
  <w:style w:type="character" w:customStyle="1" w:styleId="PPSalutationChar">
    <w:name w:val="PP Salutation Char"/>
    <w:basedOn w:val="DefaultParagraphFont"/>
    <w:link w:val="PPSalutation"/>
    <w:rsid w:val="00CF4A2D"/>
    <w:rPr>
      <w:sz w:val="22"/>
      <w:szCs w:val="22"/>
      <w:lang w:eastAsia="en-US"/>
    </w:rPr>
  </w:style>
  <w:style w:type="table" w:styleId="TableGrid">
    <w:name w:val="Table Grid"/>
    <w:basedOn w:val="TableNormal"/>
    <w:uiPriority w:val="59"/>
    <w:rsid w:val="00CF4A2D"/>
    <w:rPr>
      <w:sz w:val="22"/>
    </w:rPr>
    <w:tblPr>
      <w:tblStyleRowBandSize w:val="1"/>
      <w:tblStyleColBandSize w:val="1"/>
    </w:tblPr>
    <w:tblStylePr w:type="firstRow">
      <w:pPr>
        <w:jc w:val="center"/>
      </w:pPr>
      <w:rPr>
        <w:b/>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jc w:val="right"/>
      </w:pPr>
      <w:rPr>
        <w:b/>
      </w:rPr>
      <w:tblPr/>
      <w:tcPr>
        <w:tcBorders>
          <w:top w:val="single" w:sz="4" w:space="0" w:color="auto"/>
          <w:left w:val="nil"/>
          <w:bottom w:val="single" w:sz="4" w:space="0" w:color="auto"/>
          <w:right w:val="nil"/>
          <w:insideH w:val="nil"/>
          <w:insideV w:val="nil"/>
          <w:tl2br w:val="nil"/>
          <w:tr2bl w:val="nil"/>
        </w:tcBorders>
        <w:vAlign w:val="center"/>
      </w:tcPr>
    </w:tblStylePr>
    <w:tblStylePr w:type="firstCol">
      <w:pPr>
        <w:jc w:val="left"/>
      </w:pPr>
      <w:tblPr/>
      <w:tcPr>
        <w:vAlign w:val="center"/>
      </w:tcPr>
    </w:tblStylePr>
    <w:tblStylePr w:type="band1Vert">
      <w:pPr>
        <w:jc w:val="right"/>
      </w:pPr>
      <w:tblPr/>
      <w:tcPr>
        <w:vAlign w:val="center"/>
      </w:tcPr>
    </w:tblStylePr>
    <w:tblStylePr w:type="band1Horz">
      <w:pPr>
        <w:jc w:val="right"/>
      </w:pPr>
      <w:tblPr/>
      <w:tcPr>
        <w:vAlign w:val="center"/>
      </w:tcPr>
    </w:tblStylePr>
    <w:tblStylePr w:type="band2Horz">
      <w:pPr>
        <w:jc w:val="right"/>
      </w:pPr>
      <w:tblPr/>
      <w:tcPr>
        <w:vAlign w:val="center"/>
      </w:tcPr>
    </w:tblStylePr>
    <w:tblStylePr w:type="swCell">
      <w:pPr>
        <w:jc w:val="left"/>
      </w:pPr>
      <w:tblPr/>
      <w:tcPr>
        <w:vAlign w:val="center"/>
      </w:tcPr>
    </w:tblStylePr>
  </w:style>
  <w:style w:type="character" w:customStyle="1" w:styleId="PPSubjectLineChar">
    <w:name w:val="PP Subject Line Char"/>
    <w:basedOn w:val="DefaultParagraphFont"/>
    <w:link w:val="PPSubjectLine"/>
    <w:rsid w:val="00CF4A2D"/>
    <w:rPr>
      <w:b/>
      <w:caps/>
      <w:sz w:val="22"/>
      <w:szCs w:val="22"/>
      <w:lang w:eastAsia="en-US"/>
    </w:rPr>
  </w:style>
  <w:style w:type="table" w:styleId="MediumShading2-Accent1">
    <w:name w:val="Medium Shading 2 Accent 1"/>
    <w:basedOn w:val="TableNormal"/>
    <w:uiPriority w:val="64"/>
    <w:rsid w:val="00CF4A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BBD22" w:themeColor="background1"/>
      </w:rPr>
      <w:tblPr/>
      <w:tcPr>
        <w:tcBorders>
          <w:top w:val="single" w:sz="18" w:space="0" w:color="auto"/>
          <w:left w:val="nil"/>
          <w:bottom w:val="single" w:sz="18" w:space="0" w:color="auto"/>
          <w:right w:val="nil"/>
          <w:insideH w:val="nil"/>
          <w:insideV w:val="nil"/>
        </w:tcBorders>
        <w:shd w:val="clear" w:color="auto" w:fill="003D5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BBD22" w:themeFill="background1"/>
      </w:tcPr>
    </w:tblStylePr>
    <w:tblStylePr w:type="firstCol">
      <w:rPr>
        <w:b/>
        <w:bCs/>
        <w:color w:val="BBBD22" w:themeColor="background1"/>
      </w:rPr>
      <w:tblPr/>
      <w:tcPr>
        <w:tcBorders>
          <w:top w:val="nil"/>
          <w:left w:val="nil"/>
          <w:bottom w:val="single" w:sz="18" w:space="0" w:color="auto"/>
          <w:right w:val="nil"/>
          <w:insideH w:val="nil"/>
          <w:insideV w:val="nil"/>
        </w:tcBorders>
        <w:shd w:val="clear" w:color="auto" w:fill="003D56" w:themeFill="accent1"/>
      </w:tcPr>
    </w:tblStylePr>
    <w:tblStylePr w:type="lastCol">
      <w:rPr>
        <w:b/>
        <w:bCs/>
        <w:color w:val="BBBD22" w:themeColor="background1"/>
      </w:rPr>
      <w:tblPr/>
      <w:tcPr>
        <w:tcBorders>
          <w:left w:val="nil"/>
          <w:right w:val="nil"/>
          <w:insideH w:val="nil"/>
          <w:insideV w:val="nil"/>
        </w:tcBorders>
        <w:shd w:val="clear" w:color="auto" w:fill="003D56" w:themeFill="accent1"/>
      </w:tcPr>
    </w:tblStylePr>
    <w:tblStylePr w:type="band1Vert">
      <w:tblPr/>
      <w:tcPr>
        <w:tcBorders>
          <w:left w:val="nil"/>
          <w:right w:val="nil"/>
          <w:insideH w:val="nil"/>
          <w:insideV w:val="nil"/>
        </w:tcBorders>
        <w:shd w:val="clear" w:color="auto" w:fill="9D9F1C" w:themeFill="background1" w:themeFillShade="D8"/>
      </w:tcPr>
    </w:tblStylePr>
    <w:tblStylePr w:type="band1Horz">
      <w:tblPr/>
      <w:tcPr>
        <w:shd w:val="clear" w:color="auto" w:fill="9D9F1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BBD22"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BBD22" w:themeColor="background1"/>
      </w:rPr>
      <w:tblPr/>
      <w:tcPr>
        <w:tcBorders>
          <w:top w:val="single" w:sz="18" w:space="0" w:color="auto"/>
          <w:left w:val="nil"/>
          <w:bottom w:val="single" w:sz="18" w:space="0" w:color="auto"/>
          <w:right w:val="nil"/>
          <w:insideH w:val="nil"/>
          <w:insideV w:val="nil"/>
        </w:tcBorders>
        <w:shd w:val="clear" w:color="auto" w:fill="0072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BBD22" w:themeFill="background1"/>
      </w:tcPr>
    </w:tblStylePr>
    <w:tblStylePr w:type="firstCol">
      <w:rPr>
        <w:b/>
        <w:bCs/>
        <w:color w:val="BBBD22" w:themeColor="background1"/>
      </w:rPr>
      <w:tblPr/>
      <w:tcPr>
        <w:tcBorders>
          <w:top w:val="nil"/>
          <w:left w:val="nil"/>
          <w:bottom w:val="single" w:sz="18" w:space="0" w:color="auto"/>
          <w:right w:val="nil"/>
          <w:insideH w:val="nil"/>
          <w:insideV w:val="nil"/>
        </w:tcBorders>
        <w:shd w:val="clear" w:color="auto" w:fill="00728F" w:themeFill="accent5"/>
      </w:tcPr>
    </w:tblStylePr>
    <w:tblStylePr w:type="lastCol">
      <w:rPr>
        <w:b/>
        <w:bCs/>
        <w:color w:val="BBBD22" w:themeColor="background1"/>
      </w:rPr>
      <w:tblPr/>
      <w:tcPr>
        <w:tcBorders>
          <w:left w:val="nil"/>
          <w:right w:val="nil"/>
          <w:insideH w:val="nil"/>
          <w:insideV w:val="nil"/>
        </w:tcBorders>
        <w:shd w:val="clear" w:color="auto" w:fill="00728F" w:themeFill="accent5"/>
      </w:tcPr>
    </w:tblStylePr>
    <w:tblStylePr w:type="band1Vert">
      <w:tblPr/>
      <w:tcPr>
        <w:tcBorders>
          <w:left w:val="nil"/>
          <w:right w:val="nil"/>
          <w:insideH w:val="nil"/>
          <w:insideV w:val="nil"/>
        </w:tcBorders>
        <w:shd w:val="clear" w:color="auto" w:fill="9D9F1C" w:themeFill="background1" w:themeFillShade="D8"/>
      </w:tcPr>
    </w:tblStylePr>
    <w:tblStylePr w:type="band1Horz">
      <w:tblPr/>
      <w:tcPr>
        <w:shd w:val="clear" w:color="auto" w:fill="9D9F1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BBD22"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4">
    <w:name w:val="Colorful Shading Accent 4"/>
    <w:basedOn w:val="TableNormal"/>
    <w:uiPriority w:val="71"/>
    <w:rsid w:val="007E2E2E"/>
    <w:rPr>
      <w:color w:val="007676" w:themeColor="text1"/>
    </w:rPr>
    <w:tblPr>
      <w:tblStyleRowBandSize w:val="1"/>
      <w:tblStyleColBandSize w:val="1"/>
      <w:tblBorders>
        <w:top w:val="single" w:sz="24" w:space="0" w:color="003A63" w:themeColor="accent3"/>
        <w:left w:val="single" w:sz="4" w:space="0" w:color="5E9732" w:themeColor="accent4"/>
        <w:bottom w:val="single" w:sz="4" w:space="0" w:color="5E9732" w:themeColor="accent4"/>
        <w:right w:val="single" w:sz="4" w:space="0" w:color="5E9732" w:themeColor="accent4"/>
        <w:insideH w:val="single" w:sz="4" w:space="0" w:color="BBBD22" w:themeColor="background1"/>
        <w:insideV w:val="single" w:sz="4" w:space="0" w:color="BBBD22" w:themeColor="background1"/>
      </w:tblBorders>
    </w:tblPr>
    <w:tcPr>
      <w:shd w:val="clear" w:color="auto" w:fill="EEF7E8" w:themeFill="accent4" w:themeFillTint="19"/>
    </w:tcPr>
    <w:tblStylePr w:type="firstRow">
      <w:rPr>
        <w:b/>
        <w:bCs/>
      </w:rPr>
      <w:tblPr/>
      <w:tcPr>
        <w:tcBorders>
          <w:top w:val="nil"/>
          <w:left w:val="nil"/>
          <w:bottom w:val="single" w:sz="24" w:space="0" w:color="003A63" w:themeColor="accent3"/>
          <w:right w:val="nil"/>
          <w:insideH w:val="nil"/>
          <w:insideV w:val="nil"/>
        </w:tcBorders>
        <w:shd w:val="clear" w:color="auto" w:fill="BBBD22" w:themeFill="background1"/>
      </w:tcPr>
    </w:tblStylePr>
    <w:tblStylePr w:type="lastRow">
      <w:rPr>
        <w:b/>
        <w:bCs/>
        <w:color w:val="BBBD22" w:themeColor="background1"/>
      </w:rPr>
      <w:tblPr/>
      <w:tcPr>
        <w:tcBorders>
          <w:top w:val="single" w:sz="6" w:space="0" w:color="BBBD22" w:themeColor="background1"/>
        </w:tcBorders>
        <w:shd w:val="clear" w:color="auto" w:fill="385A1E" w:themeFill="accent4" w:themeFillShade="99"/>
      </w:tcPr>
    </w:tblStylePr>
    <w:tblStylePr w:type="firstCol">
      <w:rPr>
        <w:color w:val="BBBD22" w:themeColor="background1"/>
      </w:rPr>
      <w:tblPr/>
      <w:tcPr>
        <w:tcBorders>
          <w:top w:val="nil"/>
          <w:left w:val="nil"/>
          <w:bottom w:val="nil"/>
          <w:right w:val="nil"/>
          <w:insideH w:val="single" w:sz="4" w:space="0" w:color="385A1E" w:themeColor="accent4" w:themeShade="99"/>
          <w:insideV w:val="nil"/>
        </w:tcBorders>
        <w:shd w:val="clear" w:color="auto" w:fill="385A1E" w:themeFill="accent4" w:themeFillShade="99"/>
      </w:tcPr>
    </w:tblStylePr>
    <w:tblStylePr w:type="lastCol">
      <w:rPr>
        <w:color w:val="BBBD22" w:themeColor="background1"/>
      </w:rPr>
      <w:tblPr/>
      <w:tcPr>
        <w:tcBorders>
          <w:top w:val="nil"/>
          <w:left w:val="nil"/>
          <w:bottom w:val="nil"/>
          <w:right w:val="nil"/>
          <w:insideH w:val="nil"/>
          <w:insideV w:val="nil"/>
        </w:tcBorders>
        <w:shd w:val="clear" w:color="auto" w:fill="385A1E" w:themeFill="accent4" w:themeFillShade="99"/>
      </w:tcPr>
    </w:tblStylePr>
    <w:tblStylePr w:type="band1Vert">
      <w:tblPr/>
      <w:tcPr>
        <w:shd w:val="clear" w:color="auto" w:fill="BDE0A2" w:themeFill="accent4" w:themeFillTint="66"/>
      </w:tcPr>
    </w:tblStylePr>
    <w:tblStylePr w:type="band1Horz">
      <w:tblPr/>
      <w:tcPr>
        <w:shd w:val="clear" w:color="auto" w:fill="ACD88B" w:themeFill="accent4" w:themeFillTint="7F"/>
      </w:tcPr>
    </w:tblStylePr>
    <w:tblStylePr w:type="neCell">
      <w:rPr>
        <w:color w:val="007676" w:themeColor="text1"/>
      </w:rPr>
    </w:tblStylePr>
    <w:tblStylePr w:type="nwCell">
      <w:rPr>
        <w:color w:val="007676" w:themeColor="text1"/>
      </w:rPr>
    </w:tblStylePr>
  </w:style>
  <w:style w:type="table" w:styleId="DarkList-Accent4">
    <w:name w:val="Dark List Accent 4"/>
    <w:basedOn w:val="TableNormal"/>
    <w:uiPriority w:val="70"/>
    <w:rsid w:val="007E2E2E"/>
    <w:rPr>
      <w:color w:val="BBBD22" w:themeColor="background1"/>
    </w:rPr>
    <w:tblPr>
      <w:tblStyleRowBandSize w:val="1"/>
      <w:tblStyleColBandSize w:val="1"/>
    </w:tblPr>
    <w:tcPr>
      <w:shd w:val="clear" w:color="auto" w:fill="5E9732" w:themeFill="accent4"/>
    </w:tcPr>
    <w:tblStylePr w:type="firstRow">
      <w:rPr>
        <w:b/>
        <w:bCs/>
      </w:rPr>
      <w:tblPr/>
      <w:tcPr>
        <w:tcBorders>
          <w:top w:val="nil"/>
          <w:left w:val="nil"/>
          <w:bottom w:val="single" w:sz="18" w:space="0" w:color="BBBD22" w:themeColor="background1"/>
          <w:right w:val="nil"/>
          <w:insideH w:val="nil"/>
          <w:insideV w:val="nil"/>
        </w:tcBorders>
        <w:shd w:val="clear" w:color="auto" w:fill="007676" w:themeFill="text1"/>
      </w:tcPr>
    </w:tblStylePr>
    <w:tblStylePr w:type="lastRow">
      <w:tblPr/>
      <w:tcPr>
        <w:tcBorders>
          <w:top w:val="single" w:sz="18" w:space="0" w:color="BBBD22" w:themeColor="background1"/>
          <w:left w:val="nil"/>
          <w:bottom w:val="nil"/>
          <w:right w:val="nil"/>
          <w:insideH w:val="nil"/>
          <w:insideV w:val="nil"/>
        </w:tcBorders>
        <w:shd w:val="clear" w:color="auto" w:fill="2E4B19" w:themeFill="accent4" w:themeFillShade="7F"/>
      </w:tcPr>
    </w:tblStylePr>
    <w:tblStylePr w:type="firstCol">
      <w:tblPr/>
      <w:tcPr>
        <w:tcBorders>
          <w:top w:val="nil"/>
          <w:left w:val="nil"/>
          <w:bottom w:val="nil"/>
          <w:right w:val="single" w:sz="18" w:space="0" w:color="BBBD22" w:themeColor="background1"/>
          <w:insideH w:val="nil"/>
          <w:insideV w:val="nil"/>
        </w:tcBorders>
        <w:shd w:val="clear" w:color="auto" w:fill="467025" w:themeFill="accent4" w:themeFillShade="BF"/>
      </w:tcPr>
    </w:tblStylePr>
    <w:tblStylePr w:type="lastCol">
      <w:tblPr/>
      <w:tcPr>
        <w:tcBorders>
          <w:top w:val="nil"/>
          <w:left w:val="single" w:sz="18" w:space="0" w:color="BBBD22" w:themeColor="background1"/>
          <w:bottom w:val="nil"/>
          <w:right w:val="nil"/>
          <w:insideH w:val="nil"/>
          <w:insideV w:val="nil"/>
        </w:tcBorders>
        <w:shd w:val="clear" w:color="auto" w:fill="467025" w:themeFill="accent4" w:themeFillShade="BF"/>
      </w:tcPr>
    </w:tblStylePr>
    <w:tblStylePr w:type="band1Vert">
      <w:tblPr/>
      <w:tcPr>
        <w:tcBorders>
          <w:top w:val="nil"/>
          <w:left w:val="nil"/>
          <w:bottom w:val="nil"/>
          <w:right w:val="nil"/>
          <w:insideH w:val="nil"/>
          <w:insideV w:val="nil"/>
        </w:tcBorders>
        <w:shd w:val="clear" w:color="auto" w:fill="467025" w:themeFill="accent4" w:themeFillShade="BF"/>
      </w:tcPr>
    </w:tblStylePr>
    <w:tblStylePr w:type="band1Horz">
      <w:tblPr/>
      <w:tcPr>
        <w:tcBorders>
          <w:top w:val="nil"/>
          <w:left w:val="nil"/>
          <w:bottom w:val="nil"/>
          <w:right w:val="nil"/>
          <w:insideH w:val="nil"/>
          <w:insideV w:val="nil"/>
        </w:tcBorders>
        <w:shd w:val="clear" w:color="auto" w:fill="467025" w:themeFill="accent4" w:themeFillShade="BF"/>
      </w:tcPr>
    </w:tblStylePr>
  </w:style>
  <w:style w:type="paragraph" w:styleId="NormalWeb">
    <w:name w:val="Normal (Web)"/>
    <w:basedOn w:val="Normal"/>
    <w:uiPriority w:val="99"/>
    <w:semiHidden/>
    <w:unhideWhenUsed/>
    <w:rsid w:val="00B14DD9"/>
    <w:pPr>
      <w:spacing w:before="0" w:after="0"/>
    </w:pPr>
    <w:rPr>
      <w:rFonts w:ascii="inherit" w:eastAsia="Times New Roman" w:hAnsi="inherit"/>
      <w:sz w:val="24"/>
      <w:szCs w:val="24"/>
      <w:lang w:eastAsia="en-AU"/>
    </w:rPr>
  </w:style>
  <w:style w:type="character" w:styleId="Emphasis">
    <w:name w:val="Emphasis"/>
    <w:basedOn w:val="DefaultParagraphFont"/>
    <w:uiPriority w:val="20"/>
    <w:qFormat/>
    <w:rsid w:val="00B14DD9"/>
    <w:rPr>
      <w:i/>
      <w:iCs/>
    </w:rPr>
  </w:style>
  <w:style w:type="paragraph" w:styleId="BalloonText">
    <w:name w:val="Balloon Text"/>
    <w:basedOn w:val="Normal"/>
    <w:link w:val="BalloonTextChar"/>
    <w:uiPriority w:val="99"/>
    <w:semiHidden/>
    <w:unhideWhenUsed/>
    <w:rsid w:val="00D413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D26"/>
    <w:pPr>
      <w:spacing w:before="120" w:after="120"/>
    </w:pPr>
    <w:rPr>
      <w:sz w:val="22"/>
      <w:szCs w:val="22"/>
      <w:lang w:eastAsia="en-US"/>
    </w:rPr>
  </w:style>
  <w:style w:type="paragraph" w:styleId="Heading1">
    <w:name w:val="heading 1"/>
    <w:basedOn w:val="Normal"/>
    <w:next w:val="Normal"/>
    <w:link w:val="Heading1Char"/>
    <w:uiPriority w:val="9"/>
    <w:qFormat/>
    <w:rsid w:val="00CF4A2D"/>
    <w:pPr>
      <w:keepNext/>
      <w:keepLines/>
      <w:spacing w:after="60" w:line="300" w:lineRule="atLeast"/>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F61D26"/>
    <w:pPr>
      <w:keepNext/>
      <w:keepLines/>
      <w:spacing w:after="60" w:line="300" w:lineRule="atLeast"/>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BF"/>
    <w:pPr>
      <w:tabs>
        <w:tab w:val="center" w:pos="4513"/>
        <w:tab w:val="right" w:pos="9026"/>
      </w:tabs>
      <w:spacing w:after="0"/>
    </w:pPr>
  </w:style>
  <w:style w:type="character" w:customStyle="1" w:styleId="HeaderChar">
    <w:name w:val="Header Char"/>
    <w:basedOn w:val="DefaultParagraphFont"/>
    <w:link w:val="Header"/>
    <w:uiPriority w:val="99"/>
    <w:rsid w:val="00C471BF"/>
    <w:rPr>
      <w:lang w:val="en-AU"/>
    </w:rPr>
  </w:style>
  <w:style w:type="paragraph" w:styleId="Footer">
    <w:name w:val="footer"/>
    <w:basedOn w:val="Normal"/>
    <w:link w:val="FooterChar"/>
    <w:uiPriority w:val="99"/>
    <w:semiHidden/>
    <w:unhideWhenUsed/>
    <w:rsid w:val="00C471BF"/>
    <w:pPr>
      <w:tabs>
        <w:tab w:val="center" w:pos="4513"/>
        <w:tab w:val="right" w:pos="9026"/>
      </w:tabs>
      <w:spacing w:after="0"/>
    </w:pPr>
  </w:style>
  <w:style w:type="character" w:customStyle="1" w:styleId="FooterChar">
    <w:name w:val="Footer Char"/>
    <w:basedOn w:val="DefaultParagraphFont"/>
    <w:link w:val="Footer"/>
    <w:uiPriority w:val="99"/>
    <w:semiHidden/>
    <w:rsid w:val="00C471BF"/>
    <w:rPr>
      <w:lang w:val="en-AU"/>
    </w:rPr>
  </w:style>
  <w:style w:type="character" w:customStyle="1" w:styleId="Heading1Char">
    <w:name w:val="Heading 1 Char"/>
    <w:basedOn w:val="DefaultParagraphFont"/>
    <w:link w:val="Heading1"/>
    <w:uiPriority w:val="9"/>
    <w:rsid w:val="00CF4A2D"/>
    <w:rPr>
      <w:rFonts w:asciiTheme="majorHAnsi" w:eastAsiaTheme="majorEastAsia" w:hAnsiTheme="majorHAnsi" w:cstheme="majorBidi"/>
      <w:b/>
      <w:bCs/>
      <w:sz w:val="22"/>
      <w:szCs w:val="28"/>
      <w:lang w:eastAsia="en-US"/>
    </w:rPr>
  </w:style>
  <w:style w:type="character" w:customStyle="1" w:styleId="Heading2Char">
    <w:name w:val="Heading 2 Char"/>
    <w:basedOn w:val="DefaultParagraphFont"/>
    <w:link w:val="Heading2"/>
    <w:uiPriority w:val="9"/>
    <w:rsid w:val="00F61D26"/>
    <w:rPr>
      <w:rFonts w:asciiTheme="majorHAnsi" w:eastAsiaTheme="majorEastAsia" w:hAnsiTheme="majorHAnsi" w:cstheme="majorBidi"/>
      <w:bCs/>
      <w:i/>
      <w:sz w:val="22"/>
      <w:szCs w:val="26"/>
      <w:lang w:eastAsia="en-US"/>
    </w:rPr>
  </w:style>
  <w:style w:type="paragraph" w:styleId="ListParagraph">
    <w:name w:val="List Paragraph"/>
    <w:basedOn w:val="Normal"/>
    <w:link w:val="ListParagraphChar"/>
    <w:uiPriority w:val="34"/>
    <w:rsid w:val="00F61D26"/>
    <w:pPr>
      <w:ind w:left="720"/>
      <w:contextualSpacing/>
    </w:pPr>
  </w:style>
  <w:style w:type="paragraph" w:customStyle="1" w:styleId="Numbered">
    <w:name w:val="Numbered"/>
    <w:basedOn w:val="ListParagraph"/>
    <w:link w:val="NumberedChar"/>
    <w:qFormat/>
    <w:rsid w:val="00F61D26"/>
    <w:pPr>
      <w:numPr>
        <w:numId w:val="1"/>
      </w:numPr>
      <w:spacing w:after="0"/>
    </w:pPr>
    <w:rPr>
      <w:rFonts w:asciiTheme="minorHAnsi" w:hAnsiTheme="minorHAnsi" w:cs="Arial"/>
    </w:rPr>
  </w:style>
  <w:style w:type="paragraph" w:customStyle="1" w:styleId="BulletPoint">
    <w:name w:val="Bullet Point"/>
    <w:link w:val="BulletPointChar"/>
    <w:qFormat/>
    <w:rsid w:val="005B2FF1"/>
    <w:pPr>
      <w:numPr>
        <w:numId w:val="7"/>
      </w:numPr>
      <w:ind w:left="357" w:hanging="357"/>
    </w:pPr>
    <w:rPr>
      <w:sz w:val="22"/>
      <w:szCs w:val="22"/>
      <w:lang w:eastAsia="en-US"/>
    </w:rPr>
  </w:style>
  <w:style w:type="character" w:customStyle="1" w:styleId="ListParagraphChar">
    <w:name w:val="List Paragraph Char"/>
    <w:basedOn w:val="DefaultParagraphFont"/>
    <w:link w:val="ListParagraph"/>
    <w:uiPriority w:val="34"/>
    <w:rsid w:val="00F61D26"/>
    <w:rPr>
      <w:sz w:val="22"/>
      <w:szCs w:val="22"/>
      <w:lang w:eastAsia="en-US"/>
    </w:rPr>
  </w:style>
  <w:style w:type="character" w:customStyle="1" w:styleId="NumberedChar">
    <w:name w:val="Numbered Char"/>
    <w:basedOn w:val="ListParagraphChar"/>
    <w:link w:val="Numbered"/>
    <w:rsid w:val="00F61D26"/>
    <w:rPr>
      <w:sz w:val="22"/>
      <w:szCs w:val="22"/>
      <w:lang w:eastAsia="en-US"/>
    </w:rPr>
  </w:style>
  <w:style w:type="character" w:customStyle="1" w:styleId="BulletPointChar">
    <w:name w:val="Bullet Point Char"/>
    <w:basedOn w:val="ListParagraphChar"/>
    <w:link w:val="BulletPoint"/>
    <w:rsid w:val="005B2FF1"/>
    <w:rPr>
      <w:sz w:val="22"/>
      <w:szCs w:val="22"/>
      <w:lang w:eastAsia="en-US"/>
    </w:rPr>
  </w:style>
  <w:style w:type="paragraph" w:customStyle="1" w:styleId="AddressSignature">
    <w:name w:val="Address &amp; Signature"/>
    <w:basedOn w:val="Normal"/>
    <w:link w:val="AddressSignatureChar"/>
    <w:qFormat/>
    <w:rsid w:val="00CF4A2D"/>
    <w:pPr>
      <w:spacing w:before="0" w:after="0"/>
    </w:pPr>
  </w:style>
  <w:style w:type="paragraph" w:customStyle="1" w:styleId="PPSalutation">
    <w:name w:val="PP Salutation"/>
    <w:basedOn w:val="Normal"/>
    <w:link w:val="PPSalutationChar"/>
    <w:qFormat/>
    <w:rsid w:val="00CF4A2D"/>
    <w:pPr>
      <w:spacing w:after="60" w:line="300" w:lineRule="atLeast"/>
    </w:pPr>
  </w:style>
  <w:style w:type="character" w:customStyle="1" w:styleId="AddressSignatureChar">
    <w:name w:val="Address &amp; Signature Char"/>
    <w:basedOn w:val="DefaultParagraphFont"/>
    <w:link w:val="AddressSignature"/>
    <w:rsid w:val="00CF4A2D"/>
    <w:rPr>
      <w:sz w:val="22"/>
      <w:szCs w:val="22"/>
      <w:lang w:eastAsia="en-US"/>
    </w:rPr>
  </w:style>
  <w:style w:type="paragraph" w:customStyle="1" w:styleId="PPSubjectLine">
    <w:name w:val="PP Subject Line"/>
    <w:basedOn w:val="Normal"/>
    <w:link w:val="PPSubjectLineChar"/>
    <w:qFormat/>
    <w:rsid w:val="00CF4A2D"/>
    <w:pPr>
      <w:spacing w:after="60" w:line="300" w:lineRule="atLeast"/>
    </w:pPr>
    <w:rPr>
      <w:b/>
      <w:caps/>
    </w:rPr>
  </w:style>
  <w:style w:type="character" w:customStyle="1" w:styleId="PPSalutationChar">
    <w:name w:val="PP Salutation Char"/>
    <w:basedOn w:val="DefaultParagraphFont"/>
    <w:link w:val="PPSalutation"/>
    <w:rsid w:val="00CF4A2D"/>
    <w:rPr>
      <w:sz w:val="22"/>
      <w:szCs w:val="22"/>
      <w:lang w:eastAsia="en-US"/>
    </w:rPr>
  </w:style>
  <w:style w:type="table" w:styleId="TableGrid">
    <w:name w:val="Table Grid"/>
    <w:basedOn w:val="TableNormal"/>
    <w:uiPriority w:val="59"/>
    <w:rsid w:val="00CF4A2D"/>
    <w:rPr>
      <w:sz w:val="22"/>
    </w:rPr>
    <w:tblPr>
      <w:tblStyleRowBandSize w:val="1"/>
      <w:tblStyleColBandSize w:val="1"/>
    </w:tblPr>
    <w:tblStylePr w:type="firstRow">
      <w:pPr>
        <w:jc w:val="center"/>
      </w:pPr>
      <w:rPr>
        <w:b/>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jc w:val="right"/>
      </w:pPr>
      <w:rPr>
        <w:b/>
      </w:rPr>
      <w:tblPr/>
      <w:tcPr>
        <w:tcBorders>
          <w:top w:val="single" w:sz="4" w:space="0" w:color="auto"/>
          <w:left w:val="nil"/>
          <w:bottom w:val="single" w:sz="4" w:space="0" w:color="auto"/>
          <w:right w:val="nil"/>
          <w:insideH w:val="nil"/>
          <w:insideV w:val="nil"/>
          <w:tl2br w:val="nil"/>
          <w:tr2bl w:val="nil"/>
        </w:tcBorders>
        <w:vAlign w:val="center"/>
      </w:tcPr>
    </w:tblStylePr>
    <w:tblStylePr w:type="firstCol">
      <w:pPr>
        <w:jc w:val="left"/>
      </w:pPr>
      <w:tblPr/>
      <w:tcPr>
        <w:vAlign w:val="center"/>
      </w:tcPr>
    </w:tblStylePr>
    <w:tblStylePr w:type="band1Vert">
      <w:pPr>
        <w:jc w:val="right"/>
      </w:pPr>
      <w:tblPr/>
      <w:tcPr>
        <w:vAlign w:val="center"/>
      </w:tcPr>
    </w:tblStylePr>
    <w:tblStylePr w:type="band1Horz">
      <w:pPr>
        <w:jc w:val="right"/>
      </w:pPr>
      <w:tblPr/>
      <w:tcPr>
        <w:vAlign w:val="center"/>
      </w:tcPr>
    </w:tblStylePr>
    <w:tblStylePr w:type="band2Horz">
      <w:pPr>
        <w:jc w:val="right"/>
      </w:pPr>
      <w:tblPr/>
      <w:tcPr>
        <w:vAlign w:val="center"/>
      </w:tcPr>
    </w:tblStylePr>
    <w:tblStylePr w:type="swCell">
      <w:pPr>
        <w:jc w:val="left"/>
      </w:pPr>
      <w:tblPr/>
      <w:tcPr>
        <w:vAlign w:val="center"/>
      </w:tcPr>
    </w:tblStylePr>
  </w:style>
  <w:style w:type="character" w:customStyle="1" w:styleId="PPSubjectLineChar">
    <w:name w:val="PP Subject Line Char"/>
    <w:basedOn w:val="DefaultParagraphFont"/>
    <w:link w:val="PPSubjectLine"/>
    <w:rsid w:val="00CF4A2D"/>
    <w:rPr>
      <w:b/>
      <w:caps/>
      <w:sz w:val="22"/>
      <w:szCs w:val="22"/>
      <w:lang w:eastAsia="en-US"/>
    </w:rPr>
  </w:style>
  <w:style w:type="table" w:styleId="MediumShading2-Accent1">
    <w:name w:val="Medium Shading 2 Accent 1"/>
    <w:basedOn w:val="TableNormal"/>
    <w:uiPriority w:val="64"/>
    <w:rsid w:val="00CF4A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BBD22" w:themeColor="background1"/>
      </w:rPr>
      <w:tblPr/>
      <w:tcPr>
        <w:tcBorders>
          <w:top w:val="single" w:sz="18" w:space="0" w:color="auto"/>
          <w:left w:val="nil"/>
          <w:bottom w:val="single" w:sz="18" w:space="0" w:color="auto"/>
          <w:right w:val="nil"/>
          <w:insideH w:val="nil"/>
          <w:insideV w:val="nil"/>
        </w:tcBorders>
        <w:shd w:val="clear" w:color="auto" w:fill="003D5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BBD22" w:themeFill="background1"/>
      </w:tcPr>
    </w:tblStylePr>
    <w:tblStylePr w:type="firstCol">
      <w:rPr>
        <w:b/>
        <w:bCs/>
        <w:color w:val="BBBD22" w:themeColor="background1"/>
      </w:rPr>
      <w:tblPr/>
      <w:tcPr>
        <w:tcBorders>
          <w:top w:val="nil"/>
          <w:left w:val="nil"/>
          <w:bottom w:val="single" w:sz="18" w:space="0" w:color="auto"/>
          <w:right w:val="nil"/>
          <w:insideH w:val="nil"/>
          <w:insideV w:val="nil"/>
        </w:tcBorders>
        <w:shd w:val="clear" w:color="auto" w:fill="003D56" w:themeFill="accent1"/>
      </w:tcPr>
    </w:tblStylePr>
    <w:tblStylePr w:type="lastCol">
      <w:rPr>
        <w:b/>
        <w:bCs/>
        <w:color w:val="BBBD22" w:themeColor="background1"/>
      </w:rPr>
      <w:tblPr/>
      <w:tcPr>
        <w:tcBorders>
          <w:left w:val="nil"/>
          <w:right w:val="nil"/>
          <w:insideH w:val="nil"/>
          <w:insideV w:val="nil"/>
        </w:tcBorders>
        <w:shd w:val="clear" w:color="auto" w:fill="003D56" w:themeFill="accent1"/>
      </w:tcPr>
    </w:tblStylePr>
    <w:tblStylePr w:type="band1Vert">
      <w:tblPr/>
      <w:tcPr>
        <w:tcBorders>
          <w:left w:val="nil"/>
          <w:right w:val="nil"/>
          <w:insideH w:val="nil"/>
          <w:insideV w:val="nil"/>
        </w:tcBorders>
        <w:shd w:val="clear" w:color="auto" w:fill="9D9F1C" w:themeFill="background1" w:themeFillShade="D8"/>
      </w:tcPr>
    </w:tblStylePr>
    <w:tblStylePr w:type="band1Horz">
      <w:tblPr/>
      <w:tcPr>
        <w:shd w:val="clear" w:color="auto" w:fill="9D9F1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BBD22"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2E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BBD22" w:themeColor="background1"/>
      </w:rPr>
      <w:tblPr/>
      <w:tcPr>
        <w:tcBorders>
          <w:top w:val="single" w:sz="18" w:space="0" w:color="auto"/>
          <w:left w:val="nil"/>
          <w:bottom w:val="single" w:sz="18" w:space="0" w:color="auto"/>
          <w:right w:val="nil"/>
          <w:insideH w:val="nil"/>
          <w:insideV w:val="nil"/>
        </w:tcBorders>
        <w:shd w:val="clear" w:color="auto" w:fill="0072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BBD22" w:themeFill="background1"/>
      </w:tcPr>
    </w:tblStylePr>
    <w:tblStylePr w:type="firstCol">
      <w:rPr>
        <w:b/>
        <w:bCs/>
        <w:color w:val="BBBD22" w:themeColor="background1"/>
      </w:rPr>
      <w:tblPr/>
      <w:tcPr>
        <w:tcBorders>
          <w:top w:val="nil"/>
          <w:left w:val="nil"/>
          <w:bottom w:val="single" w:sz="18" w:space="0" w:color="auto"/>
          <w:right w:val="nil"/>
          <w:insideH w:val="nil"/>
          <w:insideV w:val="nil"/>
        </w:tcBorders>
        <w:shd w:val="clear" w:color="auto" w:fill="00728F" w:themeFill="accent5"/>
      </w:tcPr>
    </w:tblStylePr>
    <w:tblStylePr w:type="lastCol">
      <w:rPr>
        <w:b/>
        <w:bCs/>
        <w:color w:val="BBBD22" w:themeColor="background1"/>
      </w:rPr>
      <w:tblPr/>
      <w:tcPr>
        <w:tcBorders>
          <w:left w:val="nil"/>
          <w:right w:val="nil"/>
          <w:insideH w:val="nil"/>
          <w:insideV w:val="nil"/>
        </w:tcBorders>
        <w:shd w:val="clear" w:color="auto" w:fill="00728F" w:themeFill="accent5"/>
      </w:tcPr>
    </w:tblStylePr>
    <w:tblStylePr w:type="band1Vert">
      <w:tblPr/>
      <w:tcPr>
        <w:tcBorders>
          <w:left w:val="nil"/>
          <w:right w:val="nil"/>
          <w:insideH w:val="nil"/>
          <w:insideV w:val="nil"/>
        </w:tcBorders>
        <w:shd w:val="clear" w:color="auto" w:fill="9D9F1C" w:themeFill="background1" w:themeFillShade="D8"/>
      </w:tcPr>
    </w:tblStylePr>
    <w:tblStylePr w:type="band1Horz">
      <w:tblPr/>
      <w:tcPr>
        <w:shd w:val="clear" w:color="auto" w:fill="9D9F1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BBD22"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4">
    <w:name w:val="Colorful Shading Accent 4"/>
    <w:basedOn w:val="TableNormal"/>
    <w:uiPriority w:val="71"/>
    <w:rsid w:val="007E2E2E"/>
    <w:rPr>
      <w:color w:val="007676" w:themeColor="text1"/>
    </w:rPr>
    <w:tblPr>
      <w:tblStyleRowBandSize w:val="1"/>
      <w:tblStyleColBandSize w:val="1"/>
      <w:tblBorders>
        <w:top w:val="single" w:sz="24" w:space="0" w:color="003A63" w:themeColor="accent3"/>
        <w:left w:val="single" w:sz="4" w:space="0" w:color="5E9732" w:themeColor="accent4"/>
        <w:bottom w:val="single" w:sz="4" w:space="0" w:color="5E9732" w:themeColor="accent4"/>
        <w:right w:val="single" w:sz="4" w:space="0" w:color="5E9732" w:themeColor="accent4"/>
        <w:insideH w:val="single" w:sz="4" w:space="0" w:color="BBBD22" w:themeColor="background1"/>
        <w:insideV w:val="single" w:sz="4" w:space="0" w:color="BBBD22" w:themeColor="background1"/>
      </w:tblBorders>
    </w:tblPr>
    <w:tcPr>
      <w:shd w:val="clear" w:color="auto" w:fill="EEF7E8" w:themeFill="accent4" w:themeFillTint="19"/>
    </w:tcPr>
    <w:tblStylePr w:type="firstRow">
      <w:rPr>
        <w:b/>
        <w:bCs/>
      </w:rPr>
      <w:tblPr/>
      <w:tcPr>
        <w:tcBorders>
          <w:top w:val="nil"/>
          <w:left w:val="nil"/>
          <w:bottom w:val="single" w:sz="24" w:space="0" w:color="003A63" w:themeColor="accent3"/>
          <w:right w:val="nil"/>
          <w:insideH w:val="nil"/>
          <w:insideV w:val="nil"/>
        </w:tcBorders>
        <w:shd w:val="clear" w:color="auto" w:fill="BBBD22" w:themeFill="background1"/>
      </w:tcPr>
    </w:tblStylePr>
    <w:tblStylePr w:type="lastRow">
      <w:rPr>
        <w:b/>
        <w:bCs/>
        <w:color w:val="BBBD22" w:themeColor="background1"/>
      </w:rPr>
      <w:tblPr/>
      <w:tcPr>
        <w:tcBorders>
          <w:top w:val="single" w:sz="6" w:space="0" w:color="BBBD22" w:themeColor="background1"/>
        </w:tcBorders>
        <w:shd w:val="clear" w:color="auto" w:fill="385A1E" w:themeFill="accent4" w:themeFillShade="99"/>
      </w:tcPr>
    </w:tblStylePr>
    <w:tblStylePr w:type="firstCol">
      <w:rPr>
        <w:color w:val="BBBD22" w:themeColor="background1"/>
      </w:rPr>
      <w:tblPr/>
      <w:tcPr>
        <w:tcBorders>
          <w:top w:val="nil"/>
          <w:left w:val="nil"/>
          <w:bottom w:val="nil"/>
          <w:right w:val="nil"/>
          <w:insideH w:val="single" w:sz="4" w:space="0" w:color="385A1E" w:themeColor="accent4" w:themeShade="99"/>
          <w:insideV w:val="nil"/>
        </w:tcBorders>
        <w:shd w:val="clear" w:color="auto" w:fill="385A1E" w:themeFill="accent4" w:themeFillShade="99"/>
      </w:tcPr>
    </w:tblStylePr>
    <w:tblStylePr w:type="lastCol">
      <w:rPr>
        <w:color w:val="BBBD22" w:themeColor="background1"/>
      </w:rPr>
      <w:tblPr/>
      <w:tcPr>
        <w:tcBorders>
          <w:top w:val="nil"/>
          <w:left w:val="nil"/>
          <w:bottom w:val="nil"/>
          <w:right w:val="nil"/>
          <w:insideH w:val="nil"/>
          <w:insideV w:val="nil"/>
        </w:tcBorders>
        <w:shd w:val="clear" w:color="auto" w:fill="385A1E" w:themeFill="accent4" w:themeFillShade="99"/>
      </w:tcPr>
    </w:tblStylePr>
    <w:tblStylePr w:type="band1Vert">
      <w:tblPr/>
      <w:tcPr>
        <w:shd w:val="clear" w:color="auto" w:fill="BDE0A2" w:themeFill="accent4" w:themeFillTint="66"/>
      </w:tcPr>
    </w:tblStylePr>
    <w:tblStylePr w:type="band1Horz">
      <w:tblPr/>
      <w:tcPr>
        <w:shd w:val="clear" w:color="auto" w:fill="ACD88B" w:themeFill="accent4" w:themeFillTint="7F"/>
      </w:tcPr>
    </w:tblStylePr>
    <w:tblStylePr w:type="neCell">
      <w:rPr>
        <w:color w:val="007676" w:themeColor="text1"/>
      </w:rPr>
    </w:tblStylePr>
    <w:tblStylePr w:type="nwCell">
      <w:rPr>
        <w:color w:val="007676" w:themeColor="text1"/>
      </w:rPr>
    </w:tblStylePr>
  </w:style>
  <w:style w:type="table" w:styleId="DarkList-Accent4">
    <w:name w:val="Dark List Accent 4"/>
    <w:basedOn w:val="TableNormal"/>
    <w:uiPriority w:val="70"/>
    <w:rsid w:val="007E2E2E"/>
    <w:rPr>
      <w:color w:val="BBBD22" w:themeColor="background1"/>
    </w:rPr>
    <w:tblPr>
      <w:tblStyleRowBandSize w:val="1"/>
      <w:tblStyleColBandSize w:val="1"/>
    </w:tblPr>
    <w:tcPr>
      <w:shd w:val="clear" w:color="auto" w:fill="5E9732" w:themeFill="accent4"/>
    </w:tcPr>
    <w:tblStylePr w:type="firstRow">
      <w:rPr>
        <w:b/>
        <w:bCs/>
      </w:rPr>
      <w:tblPr/>
      <w:tcPr>
        <w:tcBorders>
          <w:top w:val="nil"/>
          <w:left w:val="nil"/>
          <w:bottom w:val="single" w:sz="18" w:space="0" w:color="BBBD22" w:themeColor="background1"/>
          <w:right w:val="nil"/>
          <w:insideH w:val="nil"/>
          <w:insideV w:val="nil"/>
        </w:tcBorders>
        <w:shd w:val="clear" w:color="auto" w:fill="007676" w:themeFill="text1"/>
      </w:tcPr>
    </w:tblStylePr>
    <w:tblStylePr w:type="lastRow">
      <w:tblPr/>
      <w:tcPr>
        <w:tcBorders>
          <w:top w:val="single" w:sz="18" w:space="0" w:color="BBBD22" w:themeColor="background1"/>
          <w:left w:val="nil"/>
          <w:bottom w:val="nil"/>
          <w:right w:val="nil"/>
          <w:insideH w:val="nil"/>
          <w:insideV w:val="nil"/>
        </w:tcBorders>
        <w:shd w:val="clear" w:color="auto" w:fill="2E4B19" w:themeFill="accent4" w:themeFillShade="7F"/>
      </w:tcPr>
    </w:tblStylePr>
    <w:tblStylePr w:type="firstCol">
      <w:tblPr/>
      <w:tcPr>
        <w:tcBorders>
          <w:top w:val="nil"/>
          <w:left w:val="nil"/>
          <w:bottom w:val="nil"/>
          <w:right w:val="single" w:sz="18" w:space="0" w:color="BBBD22" w:themeColor="background1"/>
          <w:insideH w:val="nil"/>
          <w:insideV w:val="nil"/>
        </w:tcBorders>
        <w:shd w:val="clear" w:color="auto" w:fill="467025" w:themeFill="accent4" w:themeFillShade="BF"/>
      </w:tcPr>
    </w:tblStylePr>
    <w:tblStylePr w:type="lastCol">
      <w:tblPr/>
      <w:tcPr>
        <w:tcBorders>
          <w:top w:val="nil"/>
          <w:left w:val="single" w:sz="18" w:space="0" w:color="BBBD22" w:themeColor="background1"/>
          <w:bottom w:val="nil"/>
          <w:right w:val="nil"/>
          <w:insideH w:val="nil"/>
          <w:insideV w:val="nil"/>
        </w:tcBorders>
        <w:shd w:val="clear" w:color="auto" w:fill="467025" w:themeFill="accent4" w:themeFillShade="BF"/>
      </w:tcPr>
    </w:tblStylePr>
    <w:tblStylePr w:type="band1Vert">
      <w:tblPr/>
      <w:tcPr>
        <w:tcBorders>
          <w:top w:val="nil"/>
          <w:left w:val="nil"/>
          <w:bottom w:val="nil"/>
          <w:right w:val="nil"/>
          <w:insideH w:val="nil"/>
          <w:insideV w:val="nil"/>
        </w:tcBorders>
        <w:shd w:val="clear" w:color="auto" w:fill="467025" w:themeFill="accent4" w:themeFillShade="BF"/>
      </w:tcPr>
    </w:tblStylePr>
    <w:tblStylePr w:type="band1Horz">
      <w:tblPr/>
      <w:tcPr>
        <w:tcBorders>
          <w:top w:val="nil"/>
          <w:left w:val="nil"/>
          <w:bottom w:val="nil"/>
          <w:right w:val="nil"/>
          <w:insideH w:val="nil"/>
          <w:insideV w:val="nil"/>
        </w:tcBorders>
        <w:shd w:val="clear" w:color="auto" w:fill="467025" w:themeFill="accent4" w:themeFillShade="BF"/>
      </w:tcPr>
    </w:tblStylePr>
  </w:style>
  <w:style w:type="paragraph" w:styleId="NormalWeb">
    <w:name w:val="Normal (Web)"/>
    <w:basedOn w:val="Normal"/>
    <w:uiPriority w:val="99"/>
    <w:semiHidden/>
    <w:unhideWhenUsed/>
    <w:rsid w:val="00B14DD9"/>
    <w:pPr>
      <w:spacing w:before="0" w:after="0"/>
    </w:pPr>
    <w:rPr>
      <w:rFonts w:ascii="inherit" w:eastAsia="Times New Roman" w:hAnsi="inherit"/>
      <w:sz w:val="24"/>
      <w:szCs w:val="24"/>
      <w:lang w:eastAsia="en-AU"/>
    </w:rPr>
  </w:style>
  <w:style w:type="character" w:styleId="Emphasis">
    <w:name w:val="Emphasis"/>
    <w:basedOn w:val="DefaultParagraphFont"/>
    <w:uiPriority w:val="20"/>
    <w:qFormat/>
    <w:rsid w:val="00B14DD9"/>
    <w:rPr>
      <w:i/>
      <w:iCs/>
    </w:rPr>
  </w:style>
  <w:style w:type="paragraph" w:styleId="BalloonText">
    <w:name w:val="Balloon Text"/>
    <w:basedOn w:val="Normal"/>
    <w:link w:val="BalloonTextChar"/>
    <w:uiPriority w:val="99"/>
    <w:semiHidden/>
    <w:unhideWhenUsed/>
    <w:rsid w:val="00D413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960">
      <w:bodyDiv w:val="1"/>
      <w:marLeft w:val="0"/>
      <w:marRight w:val="0"/>
      <w:marTop w:val="0"/>
      <w:marBottom w:val="0"/>
      <w:divBdr>
        <w:top w:val="none" w:sz="0" w:space="0" w:color="auto"/>
        <w:left w:val="none" w:sz="0" w:space="0" w:color="auto"/>
        <w:bottom w:val="none" w:sz="0" w:space="0" w:color="auto"/>
        <w:right w:val="none" w:sz="0" w:space="0" w:color="auto"/>
      </w:divBdr>
      <w:divsChild>
        <w:div w:id="151875795">
          <w:marLeft w:val="0"/>
          <w:marRight w:val="0"/>
          <w:marTop w:val="0"/>
          <w:marBottom w:val="0"/>
          <w:divBdr>
            <w:top w:val="none" w:sz="0" w:space="0" w:color="auto"/>
            <w:left w:val="none" w:sz="0" w:space="0" w:color="auto"/>
            <w:bottom w:val="none" w:sz="0" w:space="0" w:color="auto"/>
            <w:right w:val="none" w:sz="0" w:space="0" w:color="auto"/>
          </w:divBdr>
          <w:divsChild>
            <w:div w:id="1110397564">
              <w:marLeft w:val="0"/>
              <w:marRight w:val="0"/>
              <w:marTop w:val="0"/>
              <w:marBottom w:val="0"/>
              <w:divBdr>
                <w:top w:val="none" w:sz="0" w:space="0" w:color="auto"/>
                <w:left w:val="none" w:sz="0" w:space="0" w:color="auto"/>
                <w:bottom w:val="none" w:sz="0" w:space="0" w:color="auto"/>
                <w:right w:val="none" w:sz="0" w:space="0" w:color="auto"/>
              </w:divBdr>
              <w:divsChild>
                <w:div w:id="734355718">
                  <w:marLeft w:val="0"/>
                  <w:marRight w:val="0"/>
                  <w:marTop w:val="0"/>
                  <w:marBottom w:val="0"/>
                  <w:divBdr>
                    <w:top w:val="none" w:sz="0" w:space="0" w:color="auto"/>
                    <w:left w:val="none" w:sz="0" w:space="0" w:color="auto"/>
                    <w:bottom w:val="none" w:sz="0" w:space="0" w:color="auto"/>
                    <w:right w:val="none" w:sz="0" w:space="0" w:color="auto"/>
                  </w:divBdr>
                  <w:divsChild>
                    <w:div w:id="883491534">
                      <w:marLeft w:val="0"/>
                      <w:marRight w:val="0"/>
                      <w:marTop w:val="0"/>
                      <w:marBottom w:val="0"/>
                      <w:divBdr>
                        <w:top w:val="none" w:sz="0" w:space="0" w:color="auto"/>
                        <w:left w:val="none" w:sz="0" w:space="0" w:color="auto"/>
                        <w:bottom w:val="none" w:sz="0" w:space="0" w:color="auto"/>
                        <w:right w:val="none" w:sz="0" w:space="0" w:color="auto"/>
                      </w:divBdr>
                      <w:divsChild>
                        <w:div w:id="351339238">
                          <w:marLeft w:val="0"/>
                          <w:marRight w:val="0"/>
                          <w:marTop w:val="0"/>
                          <w:marBottom w:val="0"/>
                          <w:divBdr>
                            <w:top w:val="none" w:sz="0" w:space="0" w:color="auto"/>
                            <w:left w:val="none" w:sz="0" w:space="0" w:color="auto"/>
                            <w:bottom w:val="none" w:sz="0" w:space="0" w:color="auto"/>
                            <w:right w:val="none" w:sz="0" w:space="0" w:color="auto"/>
                          </w:divBdr>
                          <w:divsChild>
                            <w:div w:id="1240555821">
                              <w:marLeft w:val="0"/>
                              <w:marRight w:val="0"/>
                              <w:marTop w:val="0"/>
                              <w:marBottom w:val="0"/>
                              <w:divBdr>
                                <w:top w:val="none" w:sz="0" w:space="0" w:color="auto"/>
                                <w:left w:val="none" w:sz="0" w:space="0" w:color="auto"/>
                                <w:bottom w:val="none" w:sz="0" w:space="0" w:color="auto"/>
                                <w:right w:val="none" w:sz="0" w:space="0" w:color="auto"/>
                              </w:divBdr>
                              <w:divsChild>
                                <w:div w:id="17977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13265">
      <w:bodyDiv w:val="1"/>
      <w:marLeft w:val="0"/>
      <w:marRight w:val="0"/>
      <w:marTop w:val="0"/>
      <w:marBottom w:val="0"/>
      <w:divBdr>
        <w:top w:val="none" w:sz="0" w:space="0" w:color="auto"/>
        <w:left w:val="none" w:sz="0" w:space="0" w:color="auto"/>
        <w:bottom w:val="none" w:sz="0" w:space="0" w:color="auto"/>
        <w:right w:val="none" w:sz="0" w:space="0" w:color="auto"/>
      </w:divBdr>
      <w:divsChild>
        <w:div w:id="1764259354">
          <w:marLeft w:val="0"/>
          <w:marRight w:val="0"/>
          <w:marTop w:val="0"/>
          <w:marBottom w:val="0"/>
          <w:divBdr>
            <w:top w:val="none" w:sz="0" w:space="0" w:color="auto"/>
            <w:left w:val="none" w:sz="0" w:space="0" w:color="auto"/>
            <w:bottom w:val="none" w:sz="0" w:space="0" w:color="auto"/>
            <w:right w:val="none" w:sz="0" w:space="0" w:color="auto"/>
          </w:divBdr>
          <w:divsChild>
            <w:div w:id="1946182652">
              <w:marLeft w:val="0"/>
              <w:marRight w:val="0"/>
              <w:marTop w:val="0"/>
              <w:marBottom w:val="0"/>
              <w:divBdr>
                <w:top w:val="none" w:sz="0" w:space="0" w:color="auto"/>
                <w:left w:val="none" w:sz="0" w:space="0" w:color="auto"/>
                <w:bottom w:val="none" w:sz="0" w:space="0" w:color="auto"/>
                <w:right w:val="none" w:sz="0" w:space="0" w:color="auto"/>
              </w:divBdr>
              <w:divsChild>
                <w:div w:id="1139571296">
                  <w:marLeft w:val="0"/>
                  <w:marRight w:val="0"/>
                  <w:marTop w:val="0"/>
                  <w:marBottom w:val="0"/>
                  <w:divBdr>
                    <w:top w:val="none" w:sz="0" w:space="0" w:color="auto"/>
                    <w:left w:val="none" w:sz="0" w:space="0" w:color="auto"/>
                    <w:bottom w:val="none" w:sz="0" w:space="0" w:color="auto"/>
                    <w:right w:val="none" w:sz="0" w:space="0" w:color="auto"/>
                  </w:divBdr>
                  <w:divsChild>
                    <w:div w:id="56831304">
                      <w:marLeft w:val="0"/>
                      <w:marRight w:val="0"/>
                      <w:marTop w:val="0"/>
                      <w:marBottom w:val="0"/>
                      <w:divBdr>
                        <w:top w:val="none" w:sz="0" w:space="0" w:color="auto"/>
                        <w:left w:val="none" w:sz="0" w:space="0" w:color="auto"/>
                        <w:bottom w:val="none" w:sz="0" w:space="0" w:color="auto"/>
                        <w:right w:val="none" w:sz="0" w:space="0" w:color="auto"/>
                      </w:divBdr>
                      <w:divsChild>
                        <w:div w:id="2041736466">
                          <w:marLeft w:val="0"/>
                          <w:marRight w:val="0"/>
                          <w:marTop w:val="0"/>
                          <w:marBottom w:val="0"/>
                          <w:divBdr>
                            <w:top w:val="none" w:sz="0" w:space="0" w:color="auto"/>
                            <w:left w:val="none" w:sz="0" w:space="0" w:color="auto"/>
                            <w:bottom w:val="none" w:sz="0" w:space="0" w:color="auto"/>
                            <w:right w:val="none" w:sz="0" w:space="0" w:color="auto"/>
                          </w:divBdr>
                          <w:divsChild>
                            <w:div w:id="939991392">
                              <w:marLeft w:val="0"/>
                              <w:marRight w:val="0"/>
                              <w:marTop w:val="0"/>
                              <w:marBottom w:val="0"/>
                              <w:divBdr>
                                <w:top w:val="none" w:sz="0" w:space="0" w:color="auto"/>
                                <w:left w:val="none" w:sz="0" w:space="0" w:color="auto"/>
                                <w:bottom w:val="none" w:sz="0" w:space="0" w:color="auto"/>
                                <w:right w:val="none" w:sz="0" w:space="0" w:color="auto"/>
                              </w:divBdr>
                              <w:divsChild>
                                <w:div w:id="19018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91551">
      <w:bodyDiv w:val="1"/>
      <w:marLeft w:val="0"/>
      <w:marRight w:val="0"/>
      <w:marTop w:val="0"/>
      <w:marBottom w:val="0"/>
      <w:divBdr>
        <w:top w:val="none" w:sz="0" w:space="0" w:color="auto"/>
        <w:left w:val="none" w:sz="0" w:space="0" w:color="auto"/>
        <w:bottom w:val="none" w:sz="0" w:space="0" w:color="auto"/>
        <w:right w:val="none" w:sz="0" w:space="0" w:color="auto"/>
      </w:divBdr>
      <w:divsChild>
        <w:div w:id="124197019">
          <w:marLeft w:val="0"/>
          <w:marRight w:val="0"/>
          <w:marTop w:val="0"/>
          <w:marBottom w:val="0"/>
          <w:divBdr>
            <w:top w:val="none" w:sz="0" w:space="0" w:color="auto"/>
            <w:left w:val="none" w:sz="0" w:space="0" w:color="auto"/>
            <w:bottom w:val="none" w:sz="0" w:space="0" w:color="auto"/>
            <w:right w:val="none" w:sz="0" w:space="0" w:color="auto"/>
          </w:divBdr>
          <w:divsChild>
            <w:div w:id="1156651810">
              <w:marLeft w:val="0"/>
              <w:marRight w:val="0"/>
              <w:marTop w:val="0"/>
              <w:marBottom w:val="0"/>
              <w:divBdr>
                <w:top w:val="none" w:sz="0" w:space="0" w:color="auto"/>
                <w:left w:val="none" w:sz="0" w:space="0" w:color="auto"/>
                <w:bottom w:val="none" w:sz="0" w:space="0" w:color="auto"/>
                <w:right w:val="none" w:sz="0" w:space="0" w:color="auto"/>
              </w:divBdr>
              <w:divsChild>
                <w:div w:id="712268007">
                  <w:marLeft w:val="0"/>
                  <w:marRight w:val="0"/>
                  <w:marTop w:val="0"/>
                  <w:marBottom w:val="0"/>
                  <w:divBdr>
                    <w:top w:val="none" w:sz="0" w:space="0" w:color="auto"/>
                    <w:left w:val="none" w:sz="0" w:space="0" w:color="auto"/>
                    <w:bottom w:val="none" w:sz="0" w:space="0" w:color="auto"/>
                    <w:right w:val="none" w:sz="0" w:space="0" w:color="auto"/>
                  </w:divBdr>
                  <w:divsChild>
                    <w:div w:id="1444156538">
                      <w:marLeft w:val="0"/>
                      <w:marRight w:val="0"/>
                      <w:marTop w:val="0"/>
                      <w:marBottom w:val="0"/>
                      <w:divBdr>
                        <w:top w:val="none" w:sz="0" w:space="0" w:color="auto"/>
                        <w:left w:val="none" w:sz="0" w:space="0" w:color="auto"/>
                        <w:bottom w:val="none" w:sz="0" w:space="0" w:color="auto"/>
                        <w:right w:val="none" w:sz="0" w:space="0" w:color="auto"/>
                      </w:divBdr>
                      <w:divsChild>
                        <w:div w:id="1217738765">
                          <w:marLeft w:val="0"/>
                          <w:marRight w:val="0"/>
                          <w:marTop w:val="0"/>
                          <w:marBottom w:val="0"/>
                          <w:divBdr>
                            <w:top w:val="none" w:sz="0" w:space="0" w:color="auto"/>
                            <w:left w:val="none" w:sz="0" w:space="0" w:color="auto"/>
                            <w:bottom w:val="none" w:sz="0" w:space="0" w:color="auto"/>
                            <w:right w:val="none" w:sz="0" w:space="0" w:color="auto"/>
                          </w:divBdr>
                          <w:divsChild>
                            <w:div w:id="1570534156">
                              <w:marLeft w:val="0"/>
                              <w:marRight w:val="0"/>
                              <w:marTop w:val="0"/>
                              <w:marBottom w:val="0"/>
                              <w:divBdr>
                                <w:top w:val="none" w:sz="0" w:space="0" w:color="auto"/>
                                <w:left w:val="none" w:sz="0" w:space="0" w:color="auto"/>
                                <w:bottom w:val="none" w:sz="0" w:space="0" w:color="auto"/>
                                <w:right w:val="none" w:sz="0" w:space="0" w:color="auto"/>
                              </w:divBdr>
                              <w:divsChild>
                                <w:div w:id="13891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Traditional dispensary</c:v>
                </c:pt>
              </c:strCache>
            </c:strRef>
          </c:tx>
          <c:spPr>
            <a:solidFill>
              <a:srgbClr val="FF0000"/>
            </a:solidFill>
          </c:spPr>
          <c:invertIfNegative val="0"/>
          <c:cat>
            <c:strRef>
              <c:f>Sheet1!$A$2:$A$6</c:f>
              <c:strCache>
                <c:ptCount val="5"/>
                <c:pt idx="0">
                  <c:v>Pharmacist</c:v>
                </c:pt>
                <c:pt idx="1">
                  <c:v>Disp. tech</c:v>
                </c:pt>
                <c:pt idx="2">
                  <c:v>Assistant</c:v>
                </c:pt>
                <c:pt idx="3">
                  <c:v>Other costs</c:v>
                </c:pt>
                <c:pt idx="4">
                  <c:v>Total cost/Rx</c:v>
                </c:pt>
              </c:strCache>
            </c:strRef>
          </c:cat>
          <c:val>
            <c:numRef>
              <c:f>Sheet1!$B$2:$B$6</c:f>
              <c:numCache>
                <c:formatCode>0.00</c:formatCode>
                <c:ptCount val="5"/>
                <c:pt idx="0" formatCode="&quot;$&quot;#,##0.00_);[Red]\(&quot;$&quot;#,##0.00\)">
                  <c:v>3.92</c:v>
                </c:pt>
                <c:pt idx="1">
                  <c:v>0.70000000000000062</c:v>
                </c:pt>
                <c:pt idx="2">
                  <c:v>1.71</c:v>
                </c:pt>
                <c:pt idx="3" formatCode="General">
                  <c:v>2.67</c:v>
                </c:pt>
                <c:pt idx="4" formatCode="&quot;$&quot;#,##0.00_);[Red]\(&quot;$&quot;#,##0.00\)">
                  <c:v>9</c:v>
                </c:pt>
              </c:numCache>
            </c:numRef>
          </c:val>
        </c:ser>
        <c:ser>
          <c:idx val="1"/>
          <c:order val="1"/>
          <c:tx>
            <c:strRef>
              <c:f>Sheet1!$C$1</c:f>
              <c:strCache>
                <c:ptCount val="1"/>
                <c:pt idx="0">
                  <c:v>Efficient dispensary</c:v>
                </c:pt>
              </c:strCache>
            </c:strRef>
          </c:tx>
          <c:spPr>
            <a:solidFill>
              <a:srgbClr val="0000FF"/>
            </a:solidFill>
          </c:spPr>
          <c:invertIfNegative val="0"/>
          <c:cat>
            <c:strRef>
              <c:f>Sheet1!$A$2:$A$6</c:f>
              <c:strCache>
                <c:ptCount val="5"/>
                <c:pt idx="0">
                  <c:v>Pharmacist</c:v>
                </c:pt>
                <c:pt idx="1">
                  <c:v>Disp. tech</c:v>
                </c:pt>
                <c:pt idx="2">
                  <c:v>Assistant</c:v>
                </c:pt>
                <c:pt idx="3">
                  <c:v>Other costs</c:v>
                </c:pt>
                <c:pt idx="4">
                  <c:v>Total cost/Rx</c:v>
                </c:pt>
              </c:strCache>
            </c:strRef>
          </c:cat>
          <c:val>
            <c:numRef>
              <c:f>Sheet1!$C$2:$C$6</c:f>
              <c:numCache>
                <c:formatCode>0.00</c:formatCode>
                <c:ptCount val="5"/>
                <c:pt idx="0" formatCode="&quot;$&quot;#,##0.00_);[Red]\(&quot;$&quot;#,##0.00\)">
                  <c:v>3.1</c:v>
                </c:pt>
                <c:pt idx="1">
                  <c:v>1.45</c:v>
                </c:pt>
                <c:pt idx="2">
                  <c:v>0.73000000000000065</c:v>
                </c:pt>
                <c:pt idx="3">
                  <c:v>2.3899999999999997</c:v>
                </c:pt>
                <c:pt idx="4" formatCode="&quot;$&quot;#,##0.00_);[Red]\(&quot;$&quot;#,##0.00\)">
                  <c:v>7.67</c:v>
                </c:pt>
              </c:numCache>
            </c:numRef>
          </c:val>
        </c:ser>
        <c:dLbls>
          <c:showLegendKey val="0"/>
          <c:showVal val="0"/>
          <c:showCatName val="0"/>
          <c:showSerName val="0"/>
          <c:showPercent val="0"/>
          <c:showBubbleSize val="0"/>
        </c:dLbls>
        <c:gapWidth val="150"/>
        <c:shape val="cylinder"/>
        <c:axId val="33864320"/>
        <c:axId val="34165120"/>
        <c:axId val="0"/>
      </c:bar3DChart>
      <c:catAx>
        <c:axId val="33864320"/>
        <c:scaling>
          <c:orientation val="minMax"/>
        </c:scaling>
        <c:delete val="0"/>
        <c:axPos val="b"/>
        <c:majorTickMark val="out"/>
        <c:minorTickMark val="none"/>
        <c:tickLblPos val="nextTo"/>
        <c:crossAx val="34165120"/>
        <c:crosses val="autoZero"/>
        <c:auto val="1"/>
        <c:lblAlgn val="ctr"/>
        <c:lblOffset val="100"/>
        <c:noMultiLvlLbl val="0"/>
      </c:catAx>
      <c:valAx>
        <c:axId val="34165120"/>
        <c:scaling>
          <c:orientation val="minMax"/>
        </c:scaling>
        <c:delete val="0"/>
        <c:axPos val="l"/>
        <c:majorGridlines/>
        <c:numFmt formatCode="&quot;$&quot;#,##0.00_);[Red]\(&quot;$&quot;#,##0.00\)" sourceLinked="1"/>
        <c:majorTickMark val="out"/>
        <c:minorTickMark val="none"/>
        <c:tickLblPos val="nextTo"/>
        <c:crossAx val="33864320"/>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Pitcher Partners">
      <a:dk1>
        <a:srgbClr val="007676"/>
      </a:dk1>
      <a:lt1>
        <a:srgbClr val="BBBD22"/>
      </a:lt1>
      <a:dk2>
        <a:srgbClr val="5F6062"/>
      </a:dk2>
      <a:lt2>
        <a:srgbClr val="D3741C"/>
      </a:lt2>
      <a:accent1>
        <a:srgbClr val="003D56"/>
      </a:accent1>
      <a:accent2>
        <a:srgbClr val="38939B"/>
      </a:accent2>
      <a:accent3>
        <a:srgbClr val="003A63"/>
      </a:accent3>
      <a:accent4>
        <a:srgbClr val="5E9732"/>
      </a:accent4>
      <a:accent5>
        <a:srgbClr val="00728F"/>
      </a:accent5>
      <a:accent6>
        <a:srgbClr val="EEB111"/>
      </a:accent6>
      <a:hlink>
        <a:srgbClr val="0000FF"/>
      </a:hlink>
      <a:folHlink>
        <a:srgbClr val="800080"/>
      </a:folHlink>
    </a:clrScheme>
    <a:fontScheme name="Pitcher Partn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FEF1A-DE12-4F99-8B35-1608C187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Johnston Rorke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Chris Brooker</cp:lastModifiedBy>
  <cp:revision>2</cp:revision>
  <cp:lastPrinted>2013-02-27T06:09:00Z</cp:lastPrinted>
  <dcterms:created xsi:type="dcterms:W3CDTF">2017-03-27T05:56:00Z</dcterms:created>
  <dcterms:modified xsi:type="dcterms:W3CDTF">2017-03-27T05:56:00Z</dcterms:modified>
</cp:coreProperties>
</file>