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85827" w14:textId="77777777" w:rsidR="00997985" w:rsidRPr="000C24CC" w:rsidRDefault="00997985" w:rsidP="00997985">
      <w:pPr>
        <w:rPr>
          <w:rFonts w:cstheme="minorHAnsi"/>
          <w:b/>
          <w:sz w:val="32"/>
          <w:szCs w:val="32"/>
        </w:rPr>
      </w:pPr>
      <w:r w:rsidRPr="009C21F5">
        <w:rPr>
          <w:b/>
          <w:sz w:val="32"/>
        </w:rPr>
        <w:t xml:space="preserve">Pharmacy </w:t>
      </w:r>
      <w:r>
        <w:rPr>
          <w:b/>
          <w:sz w:val="32"/>
        </w:rPr>
        <w:t xml:space="preserve">Workforce </w:t>
      </w:r>
      <w:r w:rsidRPr="009C21F5">
        <w:rPr>
          <w:b/>
          <w:sz w:val="32"/>
        </w:rPr>
        <w:t>Profil</w:t>
      </w:r>
      <w:r>
        <w:rPr>
          <w:b/>
          <w:sz w:val="32"/>
        </w:rPr>
        <w:t>e</w:t>
      </w:r>
      <w:r w:rsidRPr="009C21F5">
        <w:rPr>
          <w:b/>
          <w:sz w:val="32"/>
        </w:rPr>
        <w:t xml:space="preserve"> </w:t>
      </w:r>
      <w:r>
        <w:rPr>
          <w:b/>
          <w:sz w:val="32"/>
        </w:rPr>
        <w:t>in Rural New South Wales: Demographics, Preceptorship</w:t>
      </w:r>
      <w:r w:rsidRPr="009C21F5">
        <w:rPr>
          <w:b/>
          <w:sz w:val="32"/>
        </w:rPr>
        <w:t xml:space="preserve"> and </w:t>
      </w:r>
      <w:r>
        <w:rPr>
          <w:b/>
          <w:sz w:val="32"/>
        </w:rPr>
        <w:t>Scope of Practice</w:t>
      </w:r>
    </w:p>
    <w:p w14:paraId="68D962ED" w14:textId="77777777" w:rsidR="00997985" w:rsidRPr="003667E9" w:rsidRDefault="00997985" w:rsidP="00997985">
      <w:pPr>
        <w:rPr>
          <w:rFonts w:cstheme="minorHAnsi"/>
          <w:sz w:val="24"/>
          <w:szCs w:val="24"/>
        </w:rPr>
      </w:pPr>
    </w:p>
    <w:p w14:paraId="76B511A2" w14:textId="77777777" w:rsidR="00997985" w:rsidRPr="003667E9" w:rsidRDefault="00997985" w:rsidP="00997985">
      <w:pPr>
        <w:spacing w:after="0" w:line="240" w:lineRule="auto"/>
        <w:rPr>
          <w:rFonts w:cstheme="minorHAnsi"/>
          <w:sz w:val="24"/>
          <w:szCs w:val="24"/>
        </w:rPr>
      </w:pPr>
      <w:r w:rsidRPr="003667E9">
        <w:rPr>
          <w:rFonts w:cstheme="minorHAnsi"/>
          <w:sz w:val="24"/>
          <w:szCs w:val="24"/>
        </w:rPr>
        <w:t>Claire Frewin</w:t>
      </w:r>
      <w:r>
        <w:rPr>
          <w:rFonts w:cstheme="minorHAnsi"/>
          <w:sz w:val="24"/>
          <w:szCs w:val="24"/>
        </w:rPr>
        <w:t xml:space="preserve"> </w:t>
      </w:r>
      <w:proofErr w:type="spellStart"/>
      <w:r>
        <w:rPr>
          <w:rFonts w:cstheme="minorHAnsi"/>
          <w:sz w:val="24"/>
          <w:szCs w:val="24"/>
        </w:rPr>
        <w:t>MPharm</w:t>
      </w:r>
      <w:proofErr w:type="spellEnd"/>
    </w:p>
    <w:p w14:paraId="1B727781" w14:textId="77777777" w:rsidR="00997985" w:rsidRDefault="00997985" w:rsidP="00997985">
      <w:pPr>
        <w:spacing w:after="0" w:line="240" w:lineRule="auto"/>
        <w:rPr>
          <w:rFonts w:cstheme="minorHAnsi"/>
          <w:sz w:val="24"/>
          <w:szCs w:val="24"/>
        </w:rPr>
      </w:pPr>
      <w:r w:rsidRPr="003667E9">
        <w:rPr>
          <w:rFonts w:cstheme="minorHAnsi"/>
          <w:sz w:val="24"/>
          <w:szCs w:val="24"/>
        </w:rPr>
        <w:t>University of Newcast</w:t>
      </w:r>
      <w:r>
        <w:rPr>
          <w:rFonts w:cstheme="minorHAnsi"/>
          <w:sz w:val="24"/>
          <w:szCs w:val="24"/>
        </w:rPr>
        <w:t>le, Department of Rural Health</w:t>
      </w:r>
    </w:p>
    <w:p w14:paraId="115F48E3" w14:textId="77777777" w:rsidR="00997985" w:rsidRPr="003667E9" w:rsidRDefault="00997985" w:rsidP="00997985">
      <w:pPr>
        <w:spacing w:after="0" w:line="240" w:lineRule="auto"/>
        <w:rPr>
          <w:rFonts w:cstheme="minorHAnsi"/>
          <w:sz w:val="24"/>
          <w:szCs w:val="24"/>
        </w:rPr>
      </w:pPr>
      <w:r>
        <w:rPr>
          <w:rFonts w:cstheme="minorHAnsi"/>
          <w:sz w:val="24"/>
          <w:szCs w:val="24"/>
        </w:rPr>
        <w:t xml:space="preserve">69A High Street, Taree </w:t>
      </w:r>
      <w:r w:rsidRPr="003667E9">
        <w:rPr>
          <w:rFonts w:cstheme="minorHAnsi"/>
          <w:sz w:val="24"/>
          <w:szCs w:val="24"/>
        </w:rPr>
        <w:t>NSW</w:t>
      </w:r>
      <w:r>
        <w:rPr>
          <w:rFonts w:cstheme="minorHAnsi"/>
          <w:sz w:val="24"/>
          <w:szCs w:val="24"/>
        </w:rPr>
        <w:t>, 2430, Australia</w:t>
      </w:r>
    </w:p>
    <w:p w14:paraId="0F7BE8B6" w14:textId="77777777" w:rsidR="00997985" w:rsidRPr="003667E9" w:rsidRDefault="00997985" w:rsidP="00997985">
      <w:pPr>
        <w:spacing w:after="0" w:line="240" w:lineRule="auto"/>
        <w:rPr>
          <w:rFonts w:cstheme="minorHAnsi"/>
          <w:sz w:val="24"/>
          <w:szCs w:val="24"/>
        </w:rPr>
      </w:pPr>
    </w:p>
    <w:p w14:paraId="1F9B4318" w14:textId="77777777" w:rsidR="00997985" w:rsidRPr="003667E9" w:rsidRDefault="00997985" w:rsidP="00997985">
      <w:pPr>
        <w:spacing w:after="0" w:line="240" w:lineRule="auto"/>
        <w:rPr>
          <w:rFonts w:cstheme="minorHAnsi"/>
          <w:sz w:val="24"/>
          <w:szCs w:val="24"/>
        </w:rPr>
      </w:pPr>
      <w:r w:rsidRPr="003667E9">
        <w:rPr>
          <w:rFonts w:cstheme="minorHAnsi"/>
          <w:sz w:val="24"/>
          <w:szCs w:val="24"/>
        </w:rPr>
        <w:t>Sonja Littlejohns</w:t>
      </w:r>
      <w:r>
        <w:rPr>
          <w:rFonts w:cstheme="minorHAnsi"/>
          <w:sz w:val="24"/>
          <w:szCs w:val="24"/>
        </w:rPr>
        <w:t xml:space="preserve"> BPharm</w:t>
      </w:r>
    </w:p>
    <w:p w14:paraId="2269B34E" w14:textId="77777777" w:rsidR="00997985" w:rsidRDefault="00997985" w:rsidP="00997985">
      <w:pPr>
        <w:spacing w:after="0" w:line="240" w:lineRule="auto"/>
        <w:rPr>
          <w:rFonts w:cstheme="minorHAnsi"/>
          <w:sz w:val="24"/>
          <w:szCs w:val="24"/>
        </w:rPr>
      </w:pPr>
      <w:bookmarkStart w:id="0" w:name="_Hlk45289614"/>
      <w:r w:rsidRPr="003667E9">
        <w:rPr>
          <w:rFonts w:cstheme="minorHAnsi"/>
          <w:sz w:val="24"/>
          <w:szCs w:val="24"/>
        </w:rPr>
        <w:t>University of Newcast</w:t>
      </w:r>
      <w:r>
        <w:rPr>
          <w:rFonts w:cstheme="minorHAnsi"/>
          <w:sz w:val="24"/>
          <w:szCs w:val="24"/>
        </w:rPr>
        <w:t>le, Department of Rural Health</w:t>
      </w:r>
    </w:p>
    <w:p w14:paraId="4C108B08" w14:textId="77777777" w:rsidR="00997985" w:rsidRPr="003667E9" w:rsidRDefault="00997985" w:rsidP="00997985">
      <w:pPr>
        <w:spacing w:after="0" w:line="240" w:lineRule="auto"/>
        <w:rPr>
          <w:rFonts w:cstheme="minorHAnsi"/>
          <w:sz w:val="24"/>
          <w:szCs w:val="24"/>
        </w:rPr>
      </w:pPr>
      <w:r>
        <w:rPr>
          <w:rFonts w:cstheme="minorHAnsi"/>
          <w:sz w:val="24"/>
          <w:szCs w:val="24"/>
        </w:rPr>
        <w:t xml:space="preserve">114-148 Johnston Street, </w:t>
      </w:r>
      <w:r w:rsidRPr="003667E9">
        <w:rPr>
          <w:rFonts w:cstheme="minorHAnsi"/>
          <w:sz w:val="24"/>
          <w:szCs w:val="24"/>
        </w:rPr>
        <w:t>Tamworth</w:t>
      </w:r>
      <w:r>
        <w:rPr>
          <w:rFonts w:cstheme="minorHAnsi"/>
          <w:sz w:val="24"/>
          <w:szCs w:val="24"/>
        </w:rPr>
        <w:t>,</w:t>
      </w:r>
      <w:r w:rsidRPr="003667E9">
        <w:rPr>
          <w:rFonts w:cstheme="minorHAnsi"/>
          <w:sz w:val="24"/>
          <w:szCs w:val="24"/>
        </w:rPr>
        <w:t xml:space="preserve"> NSW</w:t>
      </w:r>
      <w:r>
        <w:rPr>
          <w:rFonts w:cstheme="minorHAnsi"/>
          <w:sz w:val="24"/>
          <w:szCs w:val="24"/>
        </w:rPr>
        <w:t xml:space="preserve"> 2340, Australia</w:t>
      </w:r>
    </w:p>
    <w:bookmarkEnd w:id="0"/>
    <w:p w14:paraId="31B287A0" w14:textId="77777777" w:rsidR="00997985" w:rsidRPr="003667E9" w:rsidRDefault="00997985" w:rsidP="00997985">
      <w:pPr>
        <w:spacing w:after="0" w:line="240" w:lineRule="auto"/>
        <w:rPr>
          <w:rFonts w:cstheme="minorHAnsi"/>
          <w:sz w:val="24"/>
          <w:szCs w:val="24"/>
        </w:rPr>
      </w:pPr>
    </w:p>
    <w:p w14:paraId="2909D72C" w14:textId="77777777" w:rsidR="00997985" w:rsidRPr="003667E9" w:rsidRDefault="00997985" w:rsidP="00997985">
      <w:pPr>
        <w:spacing w:after="0" w:line="240" w:lineRule="auto"/>
        <w:rPr>
          <w:rFonts w:cstheme="minorHAnsi"/>
          <w:sz w:val="24"/>
          <w:szCs w:val="24"/>
        </w:rPr>
      </w:pPr>
      <w:r w:rsidRPr="003667E9">
        <w:rPr>
          <w:rFonts w:cstheme="minorHAnsi"/>
          <w:sz w:val="24"/>
          <w:szCs w:val="24"/>
        </w:rPr>
        <w:t>Tony Smith</w:t>
      </w:r>
      <w:r>
        <w:rPr>
          <w:rFonts w:cstheme="minorHAnsi"/>
          <w:sz w:val="24"/>
          <w:szCs w:val="24"/>
        </w:rPr>
        <w:t xml:space="preserve"> PhD</w:t>
      </w:r>
    </w:p>
    <w:p w14:paraId="799088D9" w14:textId="77777777" w:rsidR="00997985" w:rsidRDefault="00997985" w:rsidP="00997985">
      <w:pPr>
        <w:spacing w:after="0" w:line="240" w:lineRule="auto"/>
        <w:rPr>
          <w:rFonts w:cstheme="minorHAnsi"/>
          <w:sz w:val="24"/>
          <w:szCs w:val="24"/>
        </w:rPr>
      </w:pPr>
      <w:r w:rsidRPr="003667E9">
        <w:rPr>
          <w:rFonts w:cstheme="minorHAnsi"/>
          <w:sz w:val="24"/>
          <w:szCs w:val="24"/>
        </w:rPr>
        <w:t>University of Newcast</w:t>
      </w:r>
      <w:r>
        <w:rPr>
          <w:rFonts w:cstheme="minorHAnsi"/>
          <w:sz w:val="24"/>
          <w:szCs w:val="24"/>
        </w:rPr>
        <w:t>le, Department of Rural Health</w:t>
      </w:r>
    </w:p>
    <w:p w14:paraId="38DEF32E" w14:textId="77777777" w:rsidR="00997985" w:rsidRDefault="00997985" w:rsidP="00997985">
      <w:pPr>
        <w:spacing w:after="0" w:line="240" w:lineRule="auto"/>
        <w:rPr>
          <w:rFonts w:cstheme="minorHAnsi"/>
          <w:sz w:val="24"/>
          <w:szCs w:val="24"/>
        </w:rPr>
      </w:pPr>
      <w:r>
        <w:rPr>
          <w:rFonts w:cstheme="minorHAnsi"/>
          <w:sz w:val="24"/>
          <w:szCs w:val="24"/>
        </w:rPr>
        <w:t xml:space="preserve">69A High Street, Taree </w:t>
      </w:r>
      <w:r w:rsidRPr="003667E9">
        <w:rPr>
          <w:rFonts w:cstheme="minorHAnsi"/>
          <w:sz w:val="24"/>
          <w:szCs w:val="24"/>
        </w:rPr>
        <w:t>NSW</w:t>
      </w:r>
      <w:r>
        <w:rPr>
          <w:rFonts w:cstheme="minorHAnsi"/>
          <w:sz w:val="24"/>
          <w:szCs w:val="24"/>
        </w:rPr>
        <w:t>, 2430, Australia</w:t>
      </w:r>
    </w:p>
    <w:p w14:paraId="5C23F969" w14:textId="77777777" w:rsidR="00997985" w:rsidRDefault="00997985" w:rsidP="00997985">
      <w:pPr>
        <w:spacing w:after="0" w:line="240" w:lineRule="auto"/>
        <w:rPr>
          <w:rFonts w:cstheme="minorHAnsi"/>
          <w:sz w:val="24"/>
          <w:szCs w:val="24"/>
        </w:rPr>
      </w:pPr>
    </w:p>
    <w:p w14:paraId="24CD1DAA" w14:textId="77777777" w:rsidR="00997985" w:rsidRDefault="00997985" w:rsidP="00997985">
      <w:pPr>
        <w:spacing w:after="0" w:line="240" w:lineRule="auto"/>
        <w:rPr>
          <w:rFonts w:cstheme="minorHAnsi"/>
          <w:sz w:val="24"/>
          <w:szCs w:val="24"/>
        </w:rPr>
      </w:pPr>
    </w:p>
    <w:p w14:paraId="6BF7C298" w14:textId="77777777" w:rsidR="00997985" w:rsidRDefault="00997985" w:rsidP="00997985">
      <w:pPr>
        <w:spacing w:after="0" w:line="240" w:lineRule="auto"/>
        <w:rPr>
          <w:rFonts w:cstheme="minorHAnsi"/>
          <w:sz w:val="24"/>
          <w:szCs w:val="24"/>
        </w:rPr>
      </w:pPr>
    </w:p>
    <w:p w14:paraId="1AF13822" w14:textId="77777777" w:rsidR="00997985" w:rsidRDefault="00997985" w:rsidP="00997985">
      <w:pPr>
        <w:spacing w:after="0" w:line="240" w:lineRule="auto"/>
        <w:rPr>
          <w:rFonts w:cstheme="minorHAnsi"/>
          <w:sz w:val="24"/>
          <w:szCs w:val="24"/>
        </w:rPr>
      </w:pPr>
    </w:p>
    <w:p w14:paraId="33032E05" w14:textId="77777777" w:rsidR="00997985" w:rsidRPr="003667E9" w:rsidRDefault="00997985" w:rsidP="00997985">
      <w:pPr>
        <w:spacing w:after="120" w:line="240" w:lineRule="auto"/>
        <w:rPr>
          <w:rFonts w:cstheme="minorHAnsi"/>
          <w:b/>
          <w:sz w:val="24"/>
          <w:szCs w:val="24"/>
        </w:rPr>
      </w:pPr>
      <w:r w:rsidRPr="003667E9">
        <w:rPr>
          <w:rFonts w:cstheme="minorHAnsi"/>
          <w:b/>
          <w:sz w:val="24"/>
          <w:szCs w:val="24"/>
        </w:rPr>
        <w:t>Corresponding Author</w:t>
      </w:r>
      <w:r>
        <w:rPr>
          <w:rFonts w:cstheme="minorHAnsi"/>
          <w:b/>
          <w:sz w:val="24"/>
          <w:szCs w:val="24"/>
        </w:rPr>
        <w:t>:</w:t>
      </w:r>
    </w:p>
    <w:p w14:paraId="1C093C1A" w14:textId="77777777" w:rsidR="00997985" w:rsidRPr="003667E9" w:rsidRDefault="00997985" w:rsidP="00997985">
      <w:pPr>
        <w:spacing w:after="0" w:line="240" w:lineRule="auto"/>
        <w:rPr>
          <w:rFonts w:cstheme="minorHAnsi"/>
          <w:sz w:val="24"/>
          <w:szCs w:val="24"/>
        </w:rPr>
      </w:pPr>
      <w:r w:rsidRPr="003667E9">
        <w:rPr>
          <w:rFonts w:cstheme="minorHAnsi"/>
          <w:sz w:val="24"/>
          <w:szCs w:val="24"/>
        </w:rPr>
        <w:t>A/Prof Tony Smith</w:t>
      </w:r>
    </w:p>
    <w:p w14:paraId="29537375" w14:textId="77777777" w:rsidR="00997985" w:rsidRPr="003667E9" w:rsidRDefault="00997985" w:rsidP="00997985">
      <w:pPr>
        <w:spacing w:after="0" w:line="240" w:lineRule="auto"/>
        <w:rPr>
          <w:rFonts w:cstheme="minorHAnsi"/>
          <w:sz w:val="24"/>
          <w:szCs w:val="24"/>
        </w:rPr>
      </w:pPr>
      <w:r w:rsidRPr="003667E9">
        <w:rPr>
          <w:rFonts w:cstheme="minorHAnsi"/>
          <w:sz w:val="24"/>
          <w:szCs w:val="24"/>
        </w:rPr>
        <w:t>University of Newcastle Department of Rural Health</w:t>
      </w:r>
    </w:p>
    <w:p w14:paraId="01812A52" w14:textId="77777777" w:rsidR="00997985" w:rsidRPr="003667E9" w:rsidRDefault="00997985" w:rsidP="00997985">
      <w:pPr>
        <w:spacing w:after="0" w:line="240" w:lineRule="auto"/>
        <w:rPr>
          <w:rFonts w:cstheme="minorHAnsi"/>
          <w:sz w:val="24"/>
          <w:szCs w:val="24"/>
        </w:rPr>
      </w:pPr>
      <w:r w:rsidRPr="003667E9">
        <w:rPr>
          <w:rFonts w:cstheme="minorHAnsi"/>
          <w:sz w:val="24"/>
          <w:szCs w:val="24"/>
        </w:rPr>
        <w:t>69A High Street</w:t>
      </w:r>
    </w:p>
    <w:p w14:paraId="534144F5" w14:textId="77777777" w:rsidR="00997985" w:rsidRPr="003667E9" w:rsidRDefault="00997985" w:rsidP="00997985">
      <w:pPr>
        <w:spacing w:after="0" w:line="240" w:lineRule="auto"/>
        <w:rPr>
          <w:rFonts w:cstheme="minorHAnsi"/>
          <w:sz w:val="24"/>
          <w:szCs w:val="24"/>
        </w:rPr>
      </w:pPr>
      <w:r w:rsidRPr="003667E9">
        <w:rPr>
          <w:rFonts w:cstheme="minorHAnsi"/>
          <w:sz w:val="24"/>
          <w:szCs w:val="24"/>
        </w:rPr>
        <w:t>Taree NSW 2430</w:t>
      </w:r>
    </w:p>
    <w:p w14:paraId="09FF5B8D" w14:textId="77777777" w:rsidR="00997985" w:rsidRPr="003667E9" w:rsidRDefault="00997985" w:rsidP="00997985">
      <w:pPr>
        <w:spacing w:after="0" w:line="240" w:lineRule="auto"/>
        <w:rPr>
          <w:rFonts w:cstheme="minorHAnsi"/>
          <w:sz w:val="24"/>
          <w:szCs w:val="24"/>
        </w:rPr>
      </w:pPr>
      <w:r w:rsidRPr="003667E9">
        <w:rPr>
          <w:rFonts w:cstheme="minorHAnsi"/>
          <w:sz w:val="24"/>
          <w:szCs w:val="24"/>
        </w:rPr>
        <w:t>Phone: +61 +2+4-55 1912</w:t>
      </w:r>
    </w:p>
    <w:p w14:paraId="2F427D5C" w14:textId="154D2D07" w:rsidR="00D84307" w:rsidRPr="00997985" w:rsidRDefault="00997985" w:rsidP="00997985">
      <w:pPr>
        <w:spacing w:after="0" w:line="240" w:lineRule="auto"/>
        <w:rPr>
          <w:rFonts w:cstheme="minorHAnsi"/>
          <w:sz w:val="24"/>
          <w:szCs w:val="24"/>
        </w:rPr>
      </w:pPr>
      <w:r w:rsidRPr="003667E9">
        <w:rPr>
          <w:rFonts w:cstheme="minorHAnsi"/>
          <w:sz w:val="24"/>
          <w:szCs w:val="24"/>
        </w:rPr>
        <w:t xml:space="preserve">Email: </w:t>
      </w:r>
      <w:hyperlink r:id="rId10" w:history="1">
        <w:r w:rsidRPr="003667E9">
          <w:rPr>
            <w:rStyle w:val="Hyperlink"/>
            <w:rFonts w:cstheme="minorHAnsi"/>
            <w:sz w:val="24"/>
            <w:szCs w:val="24"/>
          </w:rPr>
          <w:t>tony.smith@newcastle.edu.au</w:t>
        </w:r>
      </w:hyperlink>
    </w:p>
    <w:p w14:paraId="6B20933F" w14:textId="77777777" w:rsidR="00982397" w:rsidRDefault="00982397">
      <w:pPr>
        <w:rPr>
          <w:b/>
          <w:sz w:val="32"/>
        </w:rPr>
      </w:pPr>
    </w:p>
    <w:p w14:paraId="6FCB5507" w14:textId="7BAB0660" w:rsidR="00123EA4" w:rsidRPr="005B0401" w:rsidRDefault="00535488">
      <w:pPr>
        <w:rPr>
          <w:rFonts w:cstheme="minorHAnsi"/>
          <w:b/>
          <w:sz w:val="24"/>
          <w:szCs w:val="24"/>
        </w:rPr>
      </w:pPr>
      <w:r w:rsidRPr="009C21F5">
        <w:rPr>
          <w:b/>
          <w:sz w:val="32"/>
        </w:rPr>
        <w:t xml:space="preserve">Pharmacy </w:t>
      </w:r>
      <w:r>
        <w:rPr>
          <w:b/>
          <w:sz w:val="32"/>
        </w:rPr>
        <w:t xml:space="preserve">Workforce </w:t>
      </w:r>
      <w:r w:rsidRPr="009C21F5">
        <w:rPr>
          <w:b/>
          <w:sz w:val="32"/>
        </w:rPr>
        <w:t>Profil</w:t>
      </w:r>
      <w:r>
        <w:rPr>
          <w:b/>
          <w:sz w:val="32"/>
        </w:rPr>
        <w:t>e</w:t>
      </w:r>
      <w:r w:rsidRPr="009C21F5">
        <w:rPr>
          <w:b/>
          <w:sz w:val="32"/>
        </w:rPr>
        <w:t xml:space="preserve"> </w:t>
      </w:r>
      <w:r>
        <w:rPr>
          <w:b/>
          <w:sz w:val="32"/>
        </w:rPr>
        <w:t>in Rural New South Wales: Demographics, Preceptorship</w:t>
      </w:r>
      <w:r w:rsidRPr="009C21F5">
        <w:rPr>
          <w:b/>
          <w:sz w:val="32"/>
        </w:rPr>
        <w:t xml:space="preserve"> and </w:t>
      </w:r>
      <w:r>
        <w:rPr>
          <w:b/>
          <w:sz w:val="32"/>
        </w:rPr>
        <w:t>Scope of Practice</w:t>
      </w:r>
    </w:p>
    <w:p w14:paraId="4C283694" w14:textId="77777777" w:rsidR="006978E5" w:rsidRDefault="006978E5">
      <w:pPr>
        <w:rPr>
          <w:rFonts w:cstheme="minorHAnsi"/>
          <w:b/>
          <w:sz w:val="24"/>
          <w:szCs w:val="24"/>
        </w:rPr>
      </w:pPr>
    </w:p>
    <w:p w14:paraId="52B862DC" w14:textId="77777777" w:rsidR="00DA1585" w:rsidRPr="005B0401" w:rsidRDefault="00DA1585" w:rsidP="00DA1585">
      <w:pPr>
        <w:spacing w:after="120" w:line="360" w:lineRule="auto"/>
        <w:rPr>
          <w:rFonts w:cstheme="minorHAnsi"/>
          <w:b/>
          <w:sz w:val="24"/>
          <w:szCs w:val="24"/>
        </w:rPr>
      </w:pPr>
      <w:r w:rsidRPr="00475F62">
        <w:rPr>
          <w:rFonts w:cstheme="minorHAnsi"/>
          <w:b/>
          <w:sz w:val="28"/>
          <w:szCs w:val="24"/>
        </w:rPr>
        <w:t>Abstract</w:t>
      </w:r>
    </w:p>
    <w:p w14:paraId="735FBB49" w14:textId="77777777" w:rsidR="00620BE5" w:rsidRPr="009D3F33" w:rsidRDefault="00620BE5" w:rsidP="001E366B">
      <w:pPr>
        <w:spacing w:after="120" w:line="360" w:lineRule="auto"/>
        <w:rPr>
          <w:b/>
          <w:bCs/>
          <w:sz w:val="24"/>
          <w:szCs w:val="24"/>
        </w:rPr>
      </w:pPr>
      <w:r w:rsidRPr="009D3F33">
        <w:rPr>
          <w:b/>
          <w:bCs/>
          <w:sz w:val="24"/>
          <w:szCs w:val="24"/>
        </w:rPr>
        <w:t>Introduction</w:t>
      </w:r>
    </w:p>
    <w:p w14:paraId="72965216" w14:textId="192B6370" w:rsidR="00620BE5" w:rsidRDefault="00620BE5" w:rsidP="001E366B">
      <w:pPr>
        <w:spacing w:after="120" w:line="360" w:lineRule="auto"/>
        <w:rPr>
          <w:sz w:val="24"/>
          <w:szCs w:val="24"/>
        </w:rPr>
      </w:pPr>
      <w:r>
        <w:rPr>
          <w:bCs/>
          <w:sz w:val="24"/>
          <w:szCs w:val="24"/>
        </w:rPr>
        <w:t xml:space="preserve">As is the case for other health professions, limitations in the size of the pharmacy workforce in rural and remote locations disadvantages the population in those communities in terms of access to health care. While the role of pharmacists continues to evolve, </w:t>
      </w:r>
      <w:r w:rsidR="00FF376B">
        <w:rPr>
          <w:bCs/>
          <w:sz w:val="24"/>
          <w:szCs w:val="24"/>
        </w:rPr>
        <w:t>expectations</w:t>
      </w:r>
      <w:r>
        <w:rPr>
          <w:bCs/>
          <w:sz w:val="24"/>
          <w:szCs w:val="24"/>
        </w:rPr>
        <w:t xml:space="preserve"> and </w:t>
      </w:r>
      <w:r w:rsidR="00FF376B">
        <w:rPr>
          <w:bCs/>
          <w:sz w:val="24"/>
          <w:szCs w:val="24"/>
        </w:rPr>
        <w:t>demands</w:t>
      </w:r>
      <w:r>
        <w:rPr>
          <w:bCs/>
          <w:sz w:val="24"/>
          <w:szCs w:val="24"/>
        </w:rPr>
        <w:t xml:space="preserve"> to provide student and intern preceptorship and broaden their scope of practice chal</w:t>
      </w:r>
      <w:r w:rsidR="00FF376B">
        <w:rPr>
          <w:bCs/>
          <w:sz w:val="24"/>
          <w:szCs w:val="24"/>
        </w:rPr>
        <w:t>lenge</w:t>
      </w:r>
      <w:r>
        <w:rPr>
          <w:bCs/>
          <w:sz w:val="24"/>
          <w:szCs w:val="24"/>
        </w:rPr>
        <w:t xml:space="preserve"> the rural pharmacy workforce. </w:t>
      </w:r>
      <w:r w:rsidR="009118DE">
        <w:rPr>
          <w:bCs/>
          <w:sz w:val="24"/>
          <w:szCs w:val="24"/>
        </w:rPr>
        <w:t xml:space="preserve">This </w:t>
      </w:r>
      <w:r>
        <w:rPr>
          <w:bCs/>
          <w:sz w:val="24"/>
          <w:szCs w:val="24"/>
        </w:rPr>
        <w:t xml:space="preserve">project </w:t>
      </w:r>
      <w:r w:rsidR="009118DE">
        <w:rPr>
          <w:bCs/>
          <w:sz w:val="24"/>
          <w:szCs w:val="24"/>
        </w:rPr>
        <w:t>aimed</w:t>
      </w:r>
      <w:r w:rsidR="0047120E" w:rsidRPr="0047120E">
        <w:rPr>
          <w:bCs/>
          <w:sz w:val="24"/>
          <w:szCs w:val="24"/>
        </w:rPr>
        <w:t xml:space="preserve"> to</w:t>
      </w:r>
      <w:r w:rsidR="00DA1585" w:rsidRPr="001E366B">
        <w:rPr>
          <w:sz w:val="24"/>
          <w:szCs w:val="24"/>
        </w:rPr>
        <w:t xml:space="preserve"> profile the rural pharmacy workforce</w:t>
      </w:r>
      <w:r w:rsidR="0047120E" w:rsidRPr="0047120E">
        <w:rPr>
          <w:sz w:val="24"/>
          <w:szCs w:val="24"/>
        </w:rPr>
        <w:t xml:space="preserve"> </w:t>
      </w:r>
      <w:r w:rsidR="0047120E" w:rsidRPr="001E366B">
        <w:rPr>
          <w:sz w:val="24"/>
          <w:szCs w:val="24"/>
        </w:rPr>
        <w:t>in the Tamworth and Taree regions of New South Wales</w:t>
      </w:r>
      <w:r w:rsidR="00C43F55">
        <w:rPr>
          <w:sz w:val="24"/>
          <w:szCs w:val="24"/>
        </w:rPr>
        <w:t xml:space="preserve">, </w:t>
      </w:r>
      <w:r w:rsidR="00D62ED0">
        <w:rPr>
          <w:sz w:val="24"/>
          <w:szCs w:val="24"/>
        </w:rPr>
        <w:t xml:space="preserve">explore </w:t>
      </w:r>
      <w:r>
        <w:rPr>
          <w:sz w:val="24"/>
          <w:szCs w:val="24"/>
        </w:rPr>
        <w:lastRenderedPageBreak/>
        <w:t>pharmacists’</w:t>
      </w:r>
      <w:r w:rsidRPr="001E366B">
        <w:rPr>
          <w:sz w:val="24"/>
          <w:szCs w:val="24"/>
        </w:rPr>
        <w:t xml:space="preserve"> </w:t>
      </w:r>
      <w:r w:rsidR="00DA1585" w:rsidRPr="001E366B">
        <w:rPr>
          <w:sz w:val="24"/>
          <w:szCs w:val="24"/>
        </w:rPr>
        <w:t>capacity to provide stu</w:t>
      </w:r>
      <w:r w:rsidR="00C43F55">
        <w:rPr>
          <w:sz w:val="24"/>
          <w:szCs w:val="24"/>
        </w:rPr>
        <w:t>dent and intern supervision</w:t>
      </w:r>
      <w:r w:rsidR="009118DE">
        <w:rPr>
          <w:sz w:val="24"/>
          <w:szCs w:val="24"/>
        </w:rPr>
        <w:t>,</w:t>
      </w:r>
      <w:r w:rsidR="00DA1585" w:rsidRPr="001E366B">
        <w:rPr>
          <w:sz w:val="24"/>
          <w:szCs w:val="24"/>
        </w:rPr>
        <w:t xml:space="preserve"> and provide</w:t>
      </w:r>
      <w:r w:rsidR="0047120E">
        <w:rPr>
          <w:sz w:val="24"/>
          <w:szCs w:val="24"/>
        </w:rPr>
        <w:t xml:space="preserve"> an</w:t>
      </w:r>
      <w:r w:rsidR="00413C4B" w:rsidRPr="001E366B">
        <w:rPr>
          <w:sz w:val="24"/>
          <w:szCs w:val="24"/>
        </w:rPr>
        <w:t xml:space="preserve"> extended range of services</w:t>
      </w:r>
      <w:r w:rsidR="00DA1585" w:rsidRPr="001E366B">
        <w:rPr>
          <w:sz w:val="24"/>
          <w:szCs w:val="24"/>
        </w:rPr>
        <w:t xml:space="preserve">. </w:t>
      </w:r>
    </w:p>
    <w:p w14:paraId="3CB7E01B" w14:textId="7DE098C0" w:rsidR="00620BE5" w:rsidRPr="009D3F33" w:rsidRDefault="00620BE5" w:rsidP="001E366B">
      <w:pPr>
        <w:spacing w:after="120" w:line="360" w:lineRule="auto"/>
        <w:rPr>
          <w:b/>
          <w:sz w:val="24"/>
          <w:szCs w:val="24"/>
        </w:rPr>
      </w:pPr>
      <w:r w:rsidRPr="009D3F33">
        <w:rPr>
          <w:b/>
          <w:sz w:val="24"/>
          <w:szCs w:val="24"/>
        </w:rPr>
        <w:t>Methods</w:t>
      </w:r>
    </w:p>
    <w:p w14:paraId="549EDAAB" w14:textId="54B1FEF2" w:rsidR="00620BE5" w:rsidRDefault="009118DE" w:rsidP="001E366B">
      <w:pPr>
        <w:spacing w:after="120" w:line="360" w:lineRule="auto"/>
        <w:rPr>
          <w:sz w:val="24"/>
          <w:szCs w:val="24"/>
        </w:rPr>
      </w:pPr>
      <w:r>
        <w:rPr>
          <w:sz w:val="24"/>
          <w:szCs w:val="24"/>
        </w:rPr>
        <w:t>A</w:t>
      </w:r>
      <w:r w:rsidR="0047120E">
        <w:rPr>
          <w:sz w:val="24"/>
          <w:szCs w:val="24"/>
        </w:rPr>
        <w:t xml:space="preserve"> survey</w:t>
      </w:r>
      <w:r w:rsidR="00DA1585" w:rsidRPr="001E366B">
        <w:rPr>
          <w:rFonts w:cstheme="minorHAnsi"/>
          <w:sz w:val="24"/>
          <w:szCs w:val="24"/>
        </w:rPr>
        <w:t xml:space="preserve"> </w:t>
      </w:r>
      <w:r w:rsidR="0047120E">
        <w:rPr>
          <w:rFonts w:cstheme="minorHAnsi"/>
          <w:sz w:val="24"/>
          <w:szCs w:val="24"/>
        </w:rPr>
        <w:t>was administered</w:t>
      </w:r>
      <w:r w:rsidR="00DA1585" w:rsidRPr="001E366B">
        <w:rPr>
          <w:rFonts w:cstheme="minorHAnsi"/>
          <w:sz w:val="24"/>
          <w:szCs w:val="24"/>
        </w:rPr>
        <w:t xml:space="preserve"> </w:t>
      </w:r>
      <w:r w:rsidR="0047120E">
        <w:rPr>
          <w:rFonts w:cstheme="minorHAnsi"/>
          <w:sz w:val="24"/>
          <w:szCs w:val="24"/>
        </w:rPr>
        <w:t xml:space="preserve">to practicing </w:t>
      </w:r>
      <w:r>
        <w:rPr>
          <w:bCs/>
          <w:sz w:val="24"/>
          <w:szCs w:val="24"/>
        </w:rPr>
        <w:t>pharmacists</w:t>
      </w:r>
      <w:r w:rsidR="0047120E">
        <w:rPr>
          <w:bCs/>
          <w:sz w:val="24"/>
          <w:szCs w:val="24"/>
        </w:rPr>
        <w:t xml:space="preserve">, </w:t>
      </w:r>
      <w:r w:rsidR="0047120E" w:rsidRPr="001E366B">
        <w:rPr>
          <w:sz w:val="24"/>
          <w:szCs w:val="24"/>
        </w:rPr>
        <w:t>including owners and managers</w:t>
      </w:r>
      <w:r w:rsidR="00DA1585" w:rsidRPr="001E366B">
        <w:rPr>
          <w:sz w:val="24"/>
          <w:szCs w:val="24"/>
        </w:rPr>
        <w:t>.</w:t>
      </w:r>
      <w:r w:rsidR="00C43F55">
        <w:rPr>
          <w:sz w:val="24"/>
          <w:szCs w:val="24"/>
        </w:rPr>
        <w:t xml:space="preserve"> </w:t>
      </w:r>
      <w:r w:rsidR="00FF376B">
        <w:rPr>
          <w:sz w:val="24"/>
          <w:szCs w:val="24"/>
        </w:rPr>
        <w:t>Data</w:t>
      </w:r>
      <w:r w:rsidR="00411536">
        <w:rPr>
          <w:sz w:val="24"/>
          <w:szCs w:val="24"/>
        </w:rPr>
        <w:t xml:space="preserve"> </w:t>
      </w:r>
      <w:r w:rsidR="00FF376B">
        <w:rPr>
          <w:sz w:val="24"/>
          <w:szCs w:val="24"/>
        </w:rPr>
        <w:t xml:space="preserve">collected </w:t>
      </w:r>
      <w:r w:rsidR="00FF376B" w:rsidRPr="001E366B">
        <w:rPr>
          <w:sz w:val="24"/>
          <w:szCs w:val="24"/>
        </w:rPr>
        <w:t>included professional role, age, gender, location, hours worked, student and intern supervision</w:t>
      </w:r>
      <w:r w:rsidR="00FF376B">
        <w:rPr>
          <w:sz w:val="24"/>
          <w:szCs w:val="24"/>
        </w:rPr>
        <w:t xml:space="preserve"> experience</w:t>
      </w:r>
      <w:r w:rsidR="00FF376B" w:rsidRPr="001E366B">
        <w:rPr>
          <w:sz w:val="24"/>
          <w:szCs w:val="24"/>
        </w:rPr>
        <w:t xml:space="preserve">, </w:t>
      </w:r>
      <w:r w:rsidR="00FF376B">
        <w:rPr>
          <w:sz w:val="24"/>
          <w:szCs w:val="24"/>
        </w:rPr>
        <w:t xml:space="preserve">the range of </w:t>
      </w:r>
      <w:r w:rsidR="00FF376B" w:rsidRPr="001E366B">
        <w:rPr>
          <w:sz w:val="24"/>
          <w:szCs w:val="24"/>
        </w:rPr>
        <w:t>services provided</w:t>
      </w:r>
      <w:r w:rsidR="00FF376B">
        <w:rPr>
          <w:sz w:val="24"/>
          <w:szCs w:val="24"/>
        </w:rPr>
        <w:t>,</w:t>
      </w:r>
      <w:r w:rsidR="00FF376B" w:rsidRPr="001E366B">
        <w:rPr>
          <w:sz w:val="24"/>
          <w:szCs w:val="24"/>
        </w:rPr>
        <w:t xml:space="preserve"> and perceived limitations </w:t>
      </w:r>
      <w:r w:rsidR="00FF376B">
        <w:rPr>
          <w:sz w:val="24"/>
          <w:szCs w:val="24"/>
        </w:rPr>
        <w:t>to extended scope of practice</w:t>
      </w:r>
      <w:r w:rsidR="00FF376B" w:rsidRPr="001E366B">
        <w:rPr>
          <w:sz w:val="24"/>
          <w:szCs w:val="24"/>
        </w:rPr>
        <w:t xml:space="preserve">. </w:t>
      </w:r>
      <w:r w:rsidR="00FF376B">
        <w:rPr>
          <w:sz w:val="24"/>
          <w:szCs w:val="24"/>
        </w:rPr>
        <w:t xml:space="preserve">The survey was completed either online or face-to-face over a </w:t>
      </w:r>
      <w:proofErr w:type="gramStart"/>
      <w:r w:rsidR="00FF376B">
        <w:rPr>
          <w:sz w:val="24"/>
          <w:szCs w:val="24"/>
        </w:rPr>
        <w:t>nine week</w:t>
      </w:r>
      <w:proofErr w:type="gramEnd"/>
      <w:r w:rsidR="00FF376B">
        <w:rPr>
          <w:sz w:val="24"/>
          <w:szCs w:val="24"/>
        </w:rPr>
        <w:t xml:space="preserve"> period in 2019.</w:t>
      </w:r>
    </w:p>
    <w:p w14:paraId="7B36A372" w14:textId="56270E28" w:rsidR="00FF376B" w:rsidRPr="009D3F33" w:rsidRDefault="00FF376B" w:rsidP="001E366B">
      <w:pPr>
        <w:spacing w:after="120" w:line="360" w:lineRule="auto"/>
        <w:rPr>
          <w:b/>
          <w:sz w:val="24"/>
          <w:szCs w:val="24"/>
        </w:rPr>
      </w:pPr>
      <w:r w:rsidRPr="009D3F33">
        <w:rPr>
          <w:b/>
          <w:sz w:val="24"/>
          <w:szCs w:val="24"/>
        </w:rPr>
        <w:t>Results</w:t>
      </w:r>
    </w:p>
    <w:p w14:paraId="3455B7D5" w14:textId="5F1D2B8F" w:rsidR="00FF376B" w:rsidRDefault="0047120E" w:rsidP="001E366B">
      <w:pPr>
        <w:spacing w:after="120" w:line="360" w:lineRule="auto"/>
        <w:rPr>
          <w:sz w:val="24"/>
          <w:szCs w:val="24"/>
        </w:rPr>
      </w:pPr>
      <w:r w:rsidRPr="001E366B">
        <w:rPr>
          <w:sz w:val="24"/>
          <w:szCs w:val="24"/>
        </w:rPr>
        <w:t xml:space="preserve">A total of 50 pharmacists </w:t>
      </w:r>
      <w:r>
        <w:rPr>
          <w:sz w:val="24"/>
          <w:szCs w:val="24"/>
        </w:rPr>
        <w:t>responded</w:t>
      </w:r>
      <w:r w:rsidRPr="001E366B">
        <w:rPr>
          <w:sz w:val="24"/>
          <w:szCs w:val="24"/>
        </w:rPr>
        <w:t xml:space="preserve">, 28 from the coastal Taree region and 22 from the inland Tamworth region. </w:t>
      </w:r>
      <w:r w:rsidR="00C43F55">
        <w:rPr>
          <w:sz w:val="24"/>
          <w:szCs w:val="24"/>
        </w:rPr>
        <w:t xml:space="preserve">Most </w:t>
      </w:r>
      <w:r w:rsidR="00DA1585" w:rsidRPr="001E366B">
        <w:rPr>
          <w:sz w:val="24"/>
          <w:szCs w:val="24"/>
        </w:rPr>
        <w:t xml:space="preserve">respondents were female (62%) and less than 40 years old (60%), </w:t>
      </w:r>
      <w:proofErr w:type="gramStart"/>
      <w:r w:rsidR="00DA1585" w:rsidRPr="001E366B">
        <w:rPr>
          <w:sz w:val="24"/>
          <w:szCs w:val="24"/>
        </w:rPr>
        <w:t>similar to</w:t>
      </w:r>
      <w:proofErr w:type="gramEnd"/>
      <w:r w:rsidR="00DA1585" w:rsidRPr="001E366B">
        <w:rPr>
          <w:sz w:val="24"/>
          <w:szCs w:val="24"/>
        </w:rPr>
        <w:t xml:space="preserve"> </w:t>
      </w:r>
      <w:r w:rsidR="009118DE">
        <w:rPr>
          <w:sz w:val="24"/>
          <w:szCs w:val="24"/>
        </w:rPr>
        <w:t xml:space="preserve">the </w:t>
      </w:r>
      <w:r w:rsidR="00DA1585" w:rsidRPr="001E366B">
        <w:rPr>
          <w:sz w:val="24"/>
          <w:szCs w:val="24"/>
        </w:rPr>
        <w:t>national workforce</w:t>
      </w:r>
      <w:r w:rsidR="00FF376B">
        <w:rPr>
          <w:sz w:val="24"/>
          <w:szCs w:val="24"/>
        </w:rPr>
        <w:t xml:space="preserve"> profile</w:t>
      </w:r>
      <w:r w:rsidR="00DA1585" w:rsidRPr="001E366B">
        <w:rPr>
          <w:sz w:val="24"/>
          <w:szCs w:val="24"/>
        </w:rPr>
        <w:t>. Sixty-seven percent reported working 36 hours or more per week</w:t>
      </w:r>
      <w:r w:rsidR="009D3F33">
        <w:rPr>
          <w:sz w:val="24"/>
          <w:szCs w:val="24"/>
        </w:rPr>
        <w:t xml:space="preserve"> and there was no difference in the mean hours between male and female respondents</w:t>
      </w:r>
      <w:r w:rsidR="00DA1585" w:rsidRPr="001E366B">
        <w:rPr>
          <w:sz w:val="24"/>
          <w:szCs w:val="24"/>
        </w:rPr>
        <w:t xml:space="preserve">. </w:t>
      </w:r>
      <w:r w:rsidR="009D3F33">
        <w:rPr>
          <w:sz w:val="24"/>
          <w:szCs w:val="24"/>
        </w:rPr>
        <w:t xml:space="preserve">Student supervision was associated with more accessible locations. </w:t>
      </w:r>
      <w:r w:rsidR="00DA1585" w:rsidRPr="001E366B">
        <w:rPr>
          <w:sz w:val="24"/>
          <w:szCs w:val="24"/>
        </w:rPr>
        <w:t xml:space="preserve">Direct student supervision was </w:t>
      </w:r>
      <w:r w:rsidR="00C43F55">
        <w:rPr>
          <w:sz w:val="24"/>
          <w:szCs w:val="24"/>
        </w:rPr>
        <w:t>performed</w:t>
      </w:r>
      <w:r w:rsidR="00DA1585" w:rsidRPr="001E366B">
        <w:rPr>
          <w:sz w:val="24"/>
          <w:szCs w:val="24"/>
        </w:rPr>
        <w:t xml:space="preserve"> by 54% of respondents</w:t>
      </w:r>
      <w:r w:rsidR="00C43F55">
        <w:rPr>
          <w:sz w:val="24"/>
          <w:szCs w:val="24"/>
        </w:rPr>
        <w:t>,</w:t>
      </w:r>
      <w:r w:rsidR="00DA1585" w:rsidRPr="001E366B">
        <w:rPr>
          <w:sz w:val="24"/>
          <w:szCs w:val="24"/>
        </w:rPr>
        <w:t xml:space="preserve"> </w:t>
      </w:r>
      <w:r w:rsidR="009118DE">
        <w:rPr>
          <w:sz w:val="24"/>
          <w:szCs w:val="24"/>
        </w:rPr>
        <w:t xml:space="preserve">with </w:t>
      </w:r>
      <w:r w:rsidR="00DA1585" w:rsidRPr="001E366B">
        <w:rPr>
          <w:sz w:val="24"/>
          <w:szCs w:val="24"/>
        </w:rPr>
        <w:t xml:space="preserve">64% of </w:t>
      </w:r>
      <w:r w:rsidR="00411536">
        <w:rPr>
          <w:sz w:val="24"/>
          <w:szCs w:val="24"/>
        </w:rPr>
        <w:t xml:space="preserve">the </w:t>
      </w:r>
      <w:r w:rsidR="00DA1585" w:rsidRPr="001E366B">
        <w:rPr>
          <w:sz w:val="24"/>
          <w:szCs w:val="24"/>
        </w:rPr>
        <w:t xml:space="preserve">sites indicating they provide </w:t>
      </w:r>
      <w:r w:rsidR="00C43F55">
        <w:rPr>
          <w:sz w:val="24"/>
          <w:szCs w:val="24"/>
        </w:rPr>
        <w:t xml:space="preserve">student </w:t>
      </w:r>
      <w:r w:rsidR="00DA1585" w:rsidRPr="001E366B">
        <w:rPr>
          <w:sz w:val="24"/>
          <w:szCs w:val="24"/>
        </w:rPr>
        <w:t>placement</w:t>
      </w:r>
      <w:r w:rsidR="00C43F55">
        <w:rPr>
          <w:sz w:val="24"/>
          <w:szCs w:val="24"/>
        </w:rPr>
        <w:t>s</w:t>
      </w:r>
      <w:r w:rsidR="00DA1585" w:rsidRPr="001E366B">
        <w:rPr>
          <w:sz w:val="24"/>
          <w:szCs w:val="24"/>
        </w:rPr>
        <w:t xml:space="preserve">. Professional services were similar </w:t>
      </w:r>
      <w:r w:rsidR="00C43F55">
        <w:rPr>
          <w:sz w:val="24"/>
          <w:szCs w:val="24"/>
        </w:rPr>
        <w:t xml:space="preserve">among </w:t>
      </w:r>
      <w:r w:rsidR="00DA1585" w:rsidRPr="001E366B">
        <w:rPr>
          <w:sz w:val="24"/>
          <w:szCs w:val="24"/>
        </w:rPr>
        <w:t xml:space="preserve">respondents, 74% indicating staffing issues </w:t>
      </w:r>
      <w:r w:rsidR="00C43F55">
        <w:rPr>
          <w:sz w:val="24"/>
          <w:szCs w:val="24"/>
        </w:rPr>
        <w:t>limited extension of</w:t>
      </w:r>
      <w:r w:rsidR="00DA1585" w:rsidRPr="001E366B">
        <w:rPr>
          <w:sz w:val="24"/>
          <w:szCs w:val="24"/>
        </w:rPr>
        <w:t xml:space="preserve"> </w:t>
      </w:r>
      <w:r w:rsidR="00413C4B" w:rsidRPr="001E366B">
        <w:rPr>
          <w:sz w:val="24"/>
          <w:szCs w:val="24"/>
        </w:rPr>
        <w:t xml:space="preserve">their </w:t>
      </w:r>
      <w:r w:rsidR="00DA1585" w:rsidRPr="001E366B">
        <w:rPr>
          <w:sz w:val="24"/>
          <w:szCs w:val="24"/>
        </w:rPr>
        <w:t>scope of practice.</w:t>
      </w:r>
    </w:p>
    <w:p w14:paraId="55CCCFA0" w14:textId="77777777" w:rsidR="00FF376B" w:rsidRPr="009D3F33" w:rsidRDefault="00FF376B" w:rsidP="001E366B">
      <w:pPr>
        <w:spacing w:after="120" w:line="360" w:lineRule="auto"/>
        <w:rPr>
          <w:b/>
          <w:sz w:val="24"/>
          <w:szCs w:val="24"/>
        </w:rPr>
      </w:pPr>
      <w:r w:rsidRPr="009D3F33">
        <w:rPr>
          <w:b/>
          <w:sz w:val="24"/>
          <w:szCs w:val="24"/>
        </w:rPr>
        <w:t>Conclusions</w:t>
      </w:r>
    </w:p>
    <w:p w14:paraId="633F4048" w14:textId="180B07EA" w:rsidR="00DA1585" w:rsidRPr="001E366B" w:rsidRDefault="00DA1585" w:rsidP="001E366B">
      <w:pPr>
        <w:spacing w:after="120" w:line="360" w:lineRule="auto"/>
        <w:rPr>
          <w:rFonts w:cstheme="minorHAnsi"/>
          <w:sz w:val="24"/>
          <w:szCs w:val="24"/>
        </w:rPr>
      </w:pPr>
      <w:r w:rsidRPr="001E366B">
        <w:rPr>
          <w:sz w:val="24"/>
          <w:szCs w:val="24"/>
        </w:rPr>
        <w:t>Th</w:t>
      </w:r>
      <w:r w:rsidR="00FF376B">
        <w:rPr>
          <w:sz w:val="24"/>
          <w:szCs w:val="24"/>
        </w:rPr>
        <w:t>is project</w:t>
      </w:r>
      <w:r w:rsidRPr="001E366B">
        <w:rPr>
          <w:sz w:val="24"/>
          <w:szCs w:val="24"/>
        </w:rPr>
        <w:t xml:space="preserve"> </w:t>
      </w:r>
      <w:r w:rsidR="00413C4B" w:rsidRPr="001E366B">
        <w:rPr>
          <w:sz w:val="24"/>
          <w:szCs w:val="24"/>
        </w:rPr>
        <w:t>identified</w:t>
      </w:r>
      <w:r w:rsidRPr="001E366B">
        <w:rPr>
          <w:sz w:val="24"/>
          <w:szCs w:val="24"/>
        </w:rPr>
        <w:t xml:space="preserve"> a </w:t>
      </w:r>
      <w:r w:rsidR="009118DE">
        <w:rPr>
          <w:sz w:val="24"/>
          <w:szCs w:val="24"/>
        </w:rPr>
        <w:t xml:space="preserve">stable </w:t>
      </w:r>
      <w:r w:rsidRPr="001E366B">
        <w:rPr>
          <w:sz w:val="24"/>
          <w:szCs w:val="24"/>
        </w:rPr>
        <w:t xml:space="preserve">core of </w:t>
      </w:r>
      <w:r w:rsidR="00FF376B">
        <w:rPr>
          <w:sz w:val="24"/>
          <w:szCs w:val="24"/>
        </w:rPr>
        <w:t xml:space="preserve">rural </w:t>
      </w:r>
      <w:r w:rsidR="009118DE">
        <w:rPr>
          <w:sz w:val="24"/>
          <w:szCs w:val="24"/>
        </w:rPr>
        <w:t xml:space="preserve">pharmacists, </w:t>
      </w:r>
      <w:r w:rsidR="009D3F33">
        <w:rPr>
          <w:sz w:val="24"/>
          <w:szCs w:val="24"/>
        </w:rPr>
        <w:t>the vast majority of who were not planning to retire soon. M</w:t>
      </w:r>
      <w:r w:rsidR="009118DE">
        <w:rPr>
          <w:sz w:val="24"/>
          <w:szCs w:val="24"/>
        </w:rPr>
        <w:t xml:space="preserve">any felt </w:t>
      </w:r>
      <w:r w:rsidRPr="001E366B">
        <w:rPr>
          <w:sz w:val="24"/>
          <w:szCs w:val="24"/>
        </w:rPr>
        <w:t xml:space="preserve">staffing </w:t>
      </w:r>
      <w:r w:rsidR="009118DE">
        <w:rPr>
          <w:sz w:val="24"/>
          <w:szCs w:val="24"/>
        </w:rPr>
        <w:t>shortages</w:t>
      </w:r>
      <w:r w:rsidRPr="001E366B">
        <w:rPr>
          <w:sz w:val="24"/>
          <w:szCs w:val="24"/>
        </w:rPr>
        <w:t xml:space="preserve"> </w:t>
      </w:r>
      <w:r w:rsidR="009118DE">
        <w:rPr>
          <w:sz w:val="24"/>
          <w:szCs w:val="24"/>
        </w:rPr>
        <w:t>limited</w:t>
      </w:r>
      <w:r w:rsidRPr="001E366B">
        <w:rPr>
          <w:sz w:val="24"/>
          <w:szCs w:val="24"/>
        </w:rPr>
        <w:t xml:space="preserve"> the</w:t>
      </w:r>
      <w:r w:rsidR="009118DE">
        <w:rPr>
          <w:sz w:val="24"/>
          <w:szCs w:val="24"/>
        </w:rPr>
        <w:t>ir</w:t>
      </w:r>
      <w:r w:rsidRPr="001E366B">
        <w:rPr>
          <w:sz w:val="24"/>
          <w:szCs w:val="24"/>
        </w:rPr>
        <w:t xml:space="preserve"> </w:t>
      </w:r>
      <w:r w:rsidR="009118DE">
        <w:rPr>
          <w:sz w:val="24"/>
          <w:szCs w:val="24"/>
        </w:rPr>
        <w:t>capacity</w:t>
      </w:r>
      <w:r w:rsidRPr="001E366B">
        <w:rPr>
          <w:sz w:val="24"/>
          <w:szCs w:val="24"/>
        </w:rPr>
        <w:t xml:space="preserve"> to </w:t>
      </w:r>
      <w:r w:rsidR="00413C4B" w:rsidRPr="001E366B">
        <w:rPr>
          <w:sz w:val="24"/>
          <w:szCs w:val="24"/>
        </w:rPr>
        <w:t>extend</w:t>
      </w:r>
      <w:r w:rsidRPr="001E366B">
        <w:rPr>
          <w:sz w:val="24"/>
          <w:szCs w:val="24"/>
        </w:rPr>
        <w:t xml:space="preserve"> service</w:t>
      </w:r>
      <w:r w:rsidR="00793F8C">
        <w:rPr>
          <w:sz w:val="24"/>
          <w:szCs w:val="24"/>
        </w:rPr>
        <w:t xml:space="preserve"> provision</w:t>
      </w:r>
      <w:r w:rsidR="009D3F33">
        <w:rPr>
          <w:sz w:val="24"/>
          <w:szCs w:val="24"/>
        </w:rPr>
        <w:t>, which may influence job satisfaction</w:t>
      </w:r>
      <w:r w:rsidRPr="001E366B">
        <w:rPr>
          <w:sz w:val="24"/>
          <w:szCs w:val="24"/>
        </w:rPr>
        <w:t xml:space="preserve">. </w:t>
      </w:r>
      <w:r w:rsidR="009118DE">
        <w:rPr>
          <w:sz w:val="24"/>
          <w:szCs w:val="24"/>
        </w:rPr>
        <w:t>U</w:t>
      </w:r>
      <w:r w:rsidRPr="001E366B">
        <w:rPr>
          <w:sz w:val="24"/>
          <w:szCs w:val="24"/>
        </w:rPr>
        <w:t xml:space="preserve">nder-utilisation of </w:t>
      </w:r>
      <w:r w:rsidR="00793F8C">
        <w:rPr>
          <w:sz w:val="24"/>
          <w:szCs w:val="24"/>
        </w:rPr>
        <w:t xml:space="preserve">student placement and </w:t>
      </w:r>
      <w:r w:rsidR="00793F8C" w:rsidRPr="001E366B">
        <w:rPr>
          <w:sz w:val="24"/>
          <w:szCs w:val="24"/>
        </w:rPr>
        <w:t>intern</w:t>
      </w:r>
      <w:r w:rsidR="00793F8C">
        <w:rPr>
          <w:sz w:val="24"/>
          <w:szCs w:val="24"/>
        </w:rPr>
        <w:t xml:space="preserve"> supervision </w:t>
      </w:r>
      <w:r w:rsidR="00793F8C" w:rsidRPr="001E366B">
        <w:rPr>
          <w:sz w:val="24"/>
          <w:szCs w:val="24"/>
        </w:rPr>
        <w:t xml:space="preserve">capacity </w:t>
      </w:r>
      <w:r w:rsidR="009118DE">
        <w:rPr>
          <w:sz w:val="24"/>
          <w:szCs w:val="24"/>
        </w:rPr>
        <w:t xml:space="preserve">was </w:t>
      </w:r>
      <w:r w:rsidR="00793F8C">
        <w:rPr>
          <w:sz w:val="24"/>
          <w:szCs w:val="24"/>
        </w:rPr>
        <w:t xml:space="preserve">also </w:t>
      </w:r>
      <w:r w:rsidR="009118DE">
        <w:rPr>
          <w:sz w:val="24"/>
          <w:szCs w:val="24"/>
        </w:rPr>
        <w:t>evident</w:t>
      </w:r>
      <w:r w:rsidRPr="001E366B">
        <w:rPr>
          <w:sz w:val="24"/>
          <w:szCs w:val="24"/>
        </w:rPr>
        <w:t xml:space="preserve">, which may negatively impact future </w:t>
      </w:r>
      <w:r w:rsidR="009118DE">
        <w:rPr>
          <w:sz w:val="24"/>
          <w:szCs w:val="24"/>
        </w:rPr>
        <w:t>workforce recruitment and retention</w:t>
      </w:r>
      <w:r w:rsidRPr="001E366B">
        <w:rPr>
          <w:sz w:val="24"/>
          <w:szCs w:val="24"/>
        </w:rPr>
        <w:t xml:space="preserve">. </w:t>
      </w:r>
      <w:r w:rsidR="00FF376B">
        <w:rPr>
          <w:sz w:val="24"/>
          <w:szCs w:val="24"/>
        </w:rPr>
        <w:t>Further small-scale studies are recommended to gain insight into local, meso- and micro-scale facets of pharmacy practice.</w:t>
      </w:r>
    </w:p>
    <w:p w14:paraId="0C91E400" w14:textId="77777777" w:rsidR="00DA1585" w:rsidRPr="001E366B" w:rsidRDefault="00DA1585" w:rsidP="001E366B">
      <w:pPr>
        <w:spacing w:after="120" w:line="360" w:lineRule="auto"/>
        <w:rPr>
          <w:rFonts w:cstheme="minorHAnsi"/>
          <w:b/>
          <w:sz w:val="24"/>
          <w:szCs w:val="24"/>
        </w:rPr>
      </w:pPr>
    </w:p>
    <w:p w14:paraId="5CCF5BEF" w14:textId="3E477C57" w:rsidR="00FF376B" w:rsidRDefault="00DA1585" w:rsidP="001E366B">
      <w:pPr>
        <w:spacing w:after="120" w:line="360" w:lineRule="auto"/>
        <w:rPr>
          <w:rFonts w:cstheme="minorHAnsi"/>
          <w:b/>
          <w:sz w:val="24"/>
          <w:szCs w:val="24"/>
        </w:rPr>
      </w:pPr>
      <w:r w:rsidRPr="001E366B">
        <w:rPr>
          <w:rFonts w:cstheme="minorHAnsi"/>
          <w:b/>
          <w:sz w:val="24"/>
          <w:szCs w:val="24"/>
        </w:rPr>
        <w:t>Keywords</w:t>
      </w:r>
    </w:p>
    <w:p w14:paraId="53E47F4F" w14:textId="5779F404" w:rsidR="00DA1585" w:rsidRPr="001F3780" w:rsidRDefault="00DA1585" w:rsidP="001E366B">
      <w:pPr>
        <w:spacing w:after="120" w:line="360" w:lineRule="auto"/>
        <w:rPr>
          <w:rFonts w:cstheme="minorHAnsi"/>
          <w:b/>
        </w:rPr>
      </w:pPr>
      <w:r w:rsidRPr="001E366B">
        <w:rPr>
          <w:rFonts w:cstheme="minorHAnsi"/>
          <w:sz w:val="24"/>
          <w:szCs w:val="24"/>
        </w:rPr>
        <w:t>Rural health; Health workforce; Pharmacy education; Community pharmacy services</w:t>
      </w:r>
    </w:p>
    <w:p w14:paraId="77E37259" w14:textId="77777777" w:rsidR="009118DE" w:rsidRDefault="009118DE">
      <w:pPr>
        <w:rPr>
          <w:rFonts w:cstheme="minorHAnsi"/>
          <w:b/>
          <w:sz w:val="32"/>
          <w:szCs w:val="32"/>
        </w:rPr>
      </w:pPr>
      <w:r>
        <w:rPr>
          <w:rFonts w:cstheme="minorHAnsi"/>
          <w:b/>
          <w:sz w:val="32"/>
          <w:szCs w:val="32"/>
        </w:rPr>
        <w:br w:type="page"/>
      </w:r>
    </w:p>
    <w:p w14:paraId="6FCB550F" w14:textId="77CFD789" w:rsidR="00881ACA" w:rsidRPr="009C21F5" w:rsidRDefault="009C21F5" w:rsidP="42A29655">
      <w:pPr>
        <w:rPr>
          <w:b/>
          <w:bCs/>
          <w:sz w:val="32"/>
          <w:szCs w:val="32"/>
        </w:rPr>
      </w:pPr>
      <w:r w:rsidRPr="009C21F5">
        <w:rPr>
          <w:b/>
          <w:sz w:val="32"/>
        </w:rPr>
        <w:lastRenderedPageBreak/>
        <w:t xml:space="preserve">Pharmacy </w:t>
      </w:r>
      <w:r>
        <w:rPr>
          <w:b/>
          <w:sz w:val="32"/>
        </w:rPr>
        <w:t xml:space="preserve">Workforce </w:t>
      </w:r>
      <w:r w:rsidRPr="009C21F5">
        <w:rPr>
          <w:b/>
          <w:sz w:val="32"/>
        </w:rPr>
        <w:t>Profil</w:t>
      </w:r>
      <w:r>
        <w:rPr>
          <w:b/>
          <w:sz w:val="32"/>
        </w:rPr>
        <w:t>e</w:t>
      </w:r>
      <w:r w:rsidRPr="009C21F5">
        <w:rPr>
          <w:b/>
          <w:sz w:val="32"/>
        </w:rPr>
        <w:t xml:space="preserve"> </w:t>
      </w:r>
      <w:r>
        <w:rPr>
          <w:b/>
          <w:sz w:val="32"/>
        </w:rPr>
        <w:t>in Rural New South Wales: Demographics, Preceptorship</w:t>
      </w:r>
      <w:r w:rsidRPr="009C21F5">
        <w:rPr>
          <w:b/>
          <w:sz w:val="32"/>
        </w:rPr>
        <w:t xml:space="preserve"> and </w:t>
      </w:r>
      <w:r>
        <w:rPr>
          <w:b/>
          <w:sz w:val="32"/>
        </w:rPr>
        <w:t>Scope of Practice</w:t>
      </w:r>
    </w:p>
    <w:p w14:paraId="6FCB5510" w14:textId="77777777" w:rsidR="00881ACA" w:rsidRPr="009C21F5" w:rsidRDefault="00881ACA" w:rsidP="00881ACA">
      <w:pPr>
        <w:spacing w:line="360" w:lineRule="auto"/>
        <w:rPr>
          <w:rFonts w:cstheme="minorHAnsi"/>
          <w:b/>
          <w:sz w:val="24"/>
          <w:szCs w:val="28"/>
        </w:rPr>
      </w:pPr>
    </w:p>
    <w:p w14:paraId="6FCB5511" w14:textId="77777777" w:rsidR="00881ACA" w:rsidRPr="003667E9" w:rsidRDefault="00881ACA" w:rsidP="00881ACA">
      <w:pPr>
        <w:spacing w:line="360" w:lineRule="auto"/>
        <w:rPr>
          <w:rFonts w:cstheme="minorHAnsi"/>
          <w:b/>
          <w:sz w:val="28"/>
          <w:szCs w:val="28"/>
        </w:rPr>
      </w:pPr>
      <w:r w:rsidRPr="003667E9">
        <w:rPr>
          <w:rFonts w:cstheme="minorHAnsi"/>
          <w:b/>
          <w:sz w:val="28"/>
          <w:szCs w:val="28"/>
        </w:rPr>
        <w:t>Introduction</w:t>
      </w:r>
    </w:p>
    <w:p w14:paraId="6FCB5512" w14:textId="638D0D76" w:rsidR="00881ACA" w:rsidRPr="001E366B" w:rsidRDefault="00C74593" w:rsidP="087094F4">
      <w:pPr>
        <w:spacing w:line="360" w:lineRule="auto"/>
        <w:rPr>
          <w:sz w:val="24"/>
          <w:szCs w:val="24"/>
        </w:rPr>
      </w:pPr>
      <w:r>
        <w:rPr>
          <w:sz w:val="24"/>
          <w:szCs w:val="24"/>
        </w:rPr>
        <w:t>T</w:t>
      </w:r>
      <w:r w:rsidR="00881ACA" w:rsidRPr="001E366B">
        <w:rPr>
          <w:sz w:val="24"/>
          <w:szCs w:val="24"/>
        </w:rPr>
        <w:t xml:space="preserve">he size of the </w:t>
      </w:r>
      <w:r>
        <w:rPr>
          <w:sz w:val="24"/>
          <w:szCs w:val="24"/>
        </w:rPr>
        <w:t xml:space="preserve">Australian </w:t>
      </w:r>
      <w:r w:rsidR="00881ACA" w:rsidRPr="001E366B">
        <w:rPr>
          <w:sz w:val="24"/>
          <w:szCs w:val="24"/>
        </w:rPr>
        <w:t>rural pharmacy workforce declines relative to the population size</w:t>
      </w:r>
      <w:r w:rsidR="00E370B1" w:rsidRPr="001E366B">
        <w:rPr>
          <w:sz w:val="24"/>
          <w:szCs w:val="24"/>
        </w:rPr>
        <w:t xml:space="preserve"> as distance from major</w:t>
      </w:r>
      <w:r w:rsidR="00E6562C" w:rsidRPr="001E366B">
        <w:rPr>
          <w:sz w:val="24"/>
          <w:szCs w:val="24"/>
        </w:rPr>
        <w:t xml:space="preserve"> cit</w:t>
      </w:r>
      <w:r w:rsidR="00C86CE5">
        <w:rPr>
          <w:sz w:val="24"/>
          <w:szCs w:val="24"/>
        </w:rPr>
        <w:t>ies</w:t>
      </w:r>
      <w:r w:rsidR="00E370B1" w:rsidRPr="001E366B">
        <w:rPr>
          <w:sz w:val="24"/>
          <w:szCs w:val="24"/>
        </w:rPr>
        <w:t xml:space="preserve"> increases</w:t>
      </w:r>
      <w:r w:rsidR="00881ACA" w:rsidRPr="001E366B">
        <w:rPr>
          <w:sz w:val="24"/>
          <w:szCs w:val="24"/>
        </w:rPr>
        <w:t xml:space="preserve">. </w:t>
      </w:r>
      <w:r w:rsidR="00E370B1" w:rsidRPr="001E366B">
        <w:rPr>
          <w:sz w:val="24"/>
          <w:szCs w:val="24"/>
        </w:rPr>
        <w:t xml:space="preserve">The Australian Institute of Health and Welfare </w:t>
      </w:r>
      <w:r>
        <w:rPr>
          <w:sz w:val="24"/>
          <w:szCs w:val="24"/>
        </w:rPr>
        <w:t xml:space="preserve">have </w:t>
      </w:r>
      <w:r w:rsidR="00E370B1" w:rsidRPr="001E366B">
        <w:rPr>
          <w:sz w:val="24"/>
          <w:szCs w:val="24"/>
        </w:rPr>
        <w:t xml:space="preserve">reported 95.4 full-time equivalent (FTE) pharmacists per 100,000 population in the major cities, compared to 75.2 and 72.3 FTE in inner and outer regional centres respectively, and 56.3 FTE in remote </w:t>
      </w:r>
      <w:proofErr w:type="gramStart"/>
      <w:r w:rsidR="00E370B1" w:rsidRPr="001E366B">
        <w:rPr>
          <w:sz w:val="24"/>
          <w:szCs w:val="24"/>
        </w:rPr>
        <w:t>locations</w:t>
      </w:r>
      <w:r w:rsidR="003C6F86">
        <w:rPr>
          <w:sz w:val="24"/>
          <w:szCs w:val="24"/>
        </w:rPr>
        <w:t>[</w:t>
      </w:r>
      <w:proofErr w:type="gramEnd"/>
      <w:r w:rsidR="003C6F86">
        <w:rPr>
          <w:sz w:val="24"/>
          <w:szCs w:val="24"/>
        </w:rPr>
        <w:t>1]</w:t>
      </w:r>
      <w:r w:rsidR="00E370B1" w:rsidRPr="001E366B">
        <w:rPr>
          <w:sz w:val="24"/>
          <w:szCs w:val="24"/>
        </w:rPr>
        <w:t xml:space="preserve">. </w:t>
      </w:r>
      <w:r>
        <w:rPr>
          <w:sz w:val="24"/>
          <w:szCs w:val="24"/>
        </w:rPr>
        <w:t>In</w:t>
      </w:r>
      <w:r w:rsidR="00B178CA" w:rsidRPr="001E366B">
        <w:rPr>
          <w:sz w:val="24"/>
          <w:szCs w:val="24"/>
        </w:rPr>
        <w:t xml:space="preserve"> </w:t>
      </w:r>
      <w:r w:rsidR="00117031" w:rsidRPr="001E366B">
        <w:rPr>
          <w:sz w:val="24"/>
          <w:szCs w:val="24"/>
        </w:rPr>
        <w:t>2018/19</w:t>
      </w:r>
      <w:r w:rsidR="009C21F5">
        <w:rPr>
          <w:sz w:val="24"/>
          <w:szCs w:val="24"/>
        </w:rPr>
        <w:t>,</w:t>
      </w:r>
      <w:r w:rsidR="00281DD3" w:rsidRPr="001E366B">
        <w:rPr>
          <w:sz w:val="24"/>
          <w:szCs w:val="24"/>
        </w:rPr>
        <w:t xml:space="preserve"> </w:t>
      </w:r>
      <w:r>
        <w:rPr>
          <w:sz w:val="24"/>
          <w:szCs w:val="24"/>
        </w:rPr>
        <w:t xml:space="preserve">the </w:t>
      </w:r>
      <w:r w:rsidR="00B178CA" w:rsidRPr="001E366B">
        <w:rPr>
          <w:sz w:val="24"/>
          <w:szCs w:val="24"/>
        </w:rPr>
        <w:t>Australian Health Practitioners Regulation Agency</w:t>
      </w:r>
      <w:r w:rsidR="00117031" w:rsidRPr="001E366B">
        <w:rPr>
          <w:sz w:val="24"/>
          <w:szCs w:val="24"/>
        </w:rPr>
        <w:t xml:space="preserve"> </w:t>
      </w:r>
      <w:r w:rsidR="00275884" w:rsidRPr="001E366B">
        <w:rPr>
          <w:sz w:val="24"/>
          <w:szCs w:val="24"/>
        </w:rPr>
        <w:t xml:space="preserve">(AHPRA) </w:t>
      </w:r>
      <w:r w:rsidR="00117031" w:rsidRPr="001E366B">
        <w:rPr>
          <w:sz w:val="24"/>
          <w:szCs w:val="24"/>
        </w:rPr>
        <w:t>report</w:t>
      </w:r>
      <w:r>
        <w:rPr>
          <w:sz w:val="24"/>
          <w:szCs w:val="24"/>
        </w:rPr>
        <w:t>ed</w:t>
      </w:r>
      <w:r w:rsidR="00281DD3" w:rsidRPr="001E366B">
        <w:rPr>
          <w:sz w:val="24"/>
          <w:szCs w:val="24"/>
        </w:rPr>
        <w:t xml:space="preserve"> </w:t>
      </w:r>
      <w:r w:rsidR="00117031" w:rsidRPr="001E366B">
        <w:rPr>
          <w:sz w:val="24"/>
          <w:szCs w:val="24"/>
        </w:rPr>
        <w:t>31,955</w:t>
      </w:r>
      <w:r w:rsidR="00281DD3" w:rsidRPr="001E366B">
        <w:rPr>
          <w:sz w:val="24"/>
          <w:szCs w:val="24"/>
        </w:rPr>
        <w:t xml:space="preserve"> </w:t>
      </w:r>
      <w:r w:rsidR="00117031" w:rsidRPr="001E366B">
        <w:rPr>
          <w:sz w:val="24"/>
          <w:szCs w:val="24"/>
        </w:rPr>
        <w:t xml:space="preserve">registered </w:t>
      </w:r>
      <w:r w:rsidR="00281DD3" w:rsidRPr="001E366B">
        <w:rPr>
          <w:sz w:val="24"/>
          <w:szCs w:val="24"/>
        </w:rPr>
        <w:t>pharmacists in Australia</w:t>
      </w:r>
      <w:r w:rsidR="00B178CA" w:rsidRPr="001E366B">
        <w:rPr>
          <w:sz w:val="24"/>
          <w:szCs w:val="24"/>
        </w:rPr>
        <w:t xml:space="preserve">, 2.7% </w:t>
      </w:r>
      <w:r w:rsidR="009C21F5">
        <w:rPr>
          <w:sz w:val="24"/>
          <w:szCs w:val="24"/>
        </w:rPr>
        <w:t xml:space="preserve">more than </w:t>
      </w:r>
      <w:r w:rsidR="00B178CA" w:rsidRPr="001E366B">
        <w:rPr>
          <w:sz w:val="24"/>
          <w:szCs w:val="24"/>
        </w:rPr>
        <w:t>the previous reporting period</w:t>
      </w:r>
      <w:r w:rsidR="009C21F5">
        <w:rPr>
          <w:sz w:val="24"/>
          <w:szCs w:val="24"/>
        </w:rPr>
        <w:t xml:space="preserve"> and</w:t>
      </w:r>
      <w:r w:rsidR="00B178CA" w:rsidRPr="001E366B">
        <w:rPr>
          <w:sz w:val="24"/>
          <w:szCs w:val="24"/>
        </w:rPr>
        <w:t xml:space="preserve"> 4.3% of </w:t>
      </w:r>
      <w:r w:rsidR="002D5285" w:rsidRPr="001E366B">
        <w:rPr>
          <w:sz w:val="24"/>
          <w:szCs w:val="24"/>
        </w:rPr>
        <w:t>nationally registered</w:t>
      </w:r>
      <w:r w:rsidR="00612B9A" w:rsidRPr="001E366B">
        <w:rPr>
          <w:sz w:val="24"/>
          <w:szCs w:val="24"/>
        </w:rPr>
        <w:t xml:space="preserve"> health </w:t>
      </w:r>
      <w:proofErr w:type="gramStart"/>
      <w:r>
        <w:rPr>
          <w:sz w:val="24"/>
          <w:szCs w:val="24"/>
        </w:rPr>
        <w:t>practitioners</w:t>
      </w:r>
      <w:r w:rsidR="003C6F86">
        <w:rPr>
          <w:sz w:val="24"/>
          <w:szCs w:val="24"/>
        </w:rPr>
        <w:t>[</w:t>
      </w:r>
      <w:proofErr w:type="gramEnd"/>
      <w:r w:rsidR="003C6F86">
        <w:rPr>
          <w:sz w:val="24"/>
          <w:szCs w:val="24"/>
        </w:rPr>
        <w:t>2]</w:t>
      </w:r>
      <w:r>
        <w:rPr>
          <w:sz w:val="24"/>
          <w:szCs w:val="24"/>
        </w:rPr>
        <w:t>.</w:t>
      </w:r>
      <w:r w:rsidR="00B178CA" w:rsidRPr="001E366B">
        <w:rPr>
          <w:sz w:val="24"/>
          <w:szCs w:val="24"/>
        </w:rPr>
        <w:t xml:space="preserve"> </w:t>
      </w:r>
      <w:r>
        <w:rPr>
          <w:sz w:val="24"/>
          <w:szCs w:val="24"/>
        </w:rPr>
        <w:t>A</w:t>
      </w:r>
      <w:r w:rsidR="007E6724" w:rsidRPr="001E366B">
        <w:rPr>
          <w:sz w:val="24"/>
          <w:szCs w:val="24"/>
        </w:rPr>
        <w:t xml:space="preserve">bout </w:t>
      </w:r>
      <w:r w:rsidR="005C1745" w:rsidRPr="001E366B">
        <w:rPr>
          <w:sz w:val="24"/>
          <w:szCs w:val="24"/>
        </w:rPr>
        <w:t>77</w:t>
      </w:r>
      <w:r w:rsidR="001E4B17" w:rsidRPr="001E366B">
        <w:rPr>
          <w:sz w:val="24"/>
          <w:szCs w:val="24"/>
        </w:rPr>
        <w:t xml:space="preserve">% </w:t>
      </w:r>
      <w:r w:rsidR="005C1745" w:rsidRPr="001E366B">
        <w:rPr>
          <w:sz w:val="24"/>
          <w:szCs w:val="24"/>
        </w:rPr>
        <w:t>of pharmacists pra</w:t>
      </w:r>
      <w:r w:rsidR="002D5285" w:rsidRPr="001E366B">
        <w:rPr>
          <w:sz w:val="24"/>
          <w:szCs w:val="24"/>
        </w:rPr>
        <w:t xml:space="preserve">ctice in </w:t>
      </w:r>
      <w:r w:rsidR="00C86CE5">
        <w:rPr>
          <w:sz w:val="24"/>
          <w:szCs w:val="24"/>
        </w:rPr>
        <w:t>m</w:t>
      </w:r>
      <w:r w:rsidR="002D5285" w:rsidRPr="001E366B">
        <w:rPr>
          <w:sz w:val="24"/>
          <w:szCs w:val="24"/>
        </w:rPr>
        <w:t xml:space="preserve">ajor </w:t>
      </w:r>
      <w:proofErr w:type="gramStart"/>
      <w:r w:rsidR="00C86CE5">
        <w:rPr>
          <w:sz w:val="24"/>
          <w:szCs w:val="24"/>
        </w:rPr>
        <w:t>c</w:t>
      </w:r>
      <w:r w:rsidR="00C86CE5" w:rsidRPr="001E366B">
        <w:rPr>
          <w:sz w:val="24"/>
          <w:szCs w:val="24"/>
        </w:rPr>
        <w:t>ities</w:t>
      </w:r>
      <w:r w:rsidR="003C6F86">
        <w:rPr>
          <w:sz w:val="24"/>
          <w:szCs w:val="24"/>
        </w:rPr>
        <w:t>[</w:t>
      </w:r>
      <w:proofErr w:type="gramEnd"/>
      <w:r w:rsidR="003C6F86">
        <w:rPr>
          <w:sz w:val="24"/>
          <w:szCs w:val="24"/>
        </w:rPr>
        <w:t>3]</w:t>
      </w:r>
      <w:r w:rsidR="005C1745" w:rsidRPr="001E366B">
        <w:rPr>
          <w:sz w:val="24"/>
          <w:szCs w:val="24"/>
        </w:rPr>
        <w:t xml:space="preserve">, while 6.7% serve </w:t>
      </w:r>
      <w:r w:rsidR="00C86CE5">
        <w:rPr>
          <w:sz w:val="24"/>
          <w:szCs w:val="24"/>
        </w:rPr>
        <w:t>o</w:t>
      </w:r>
      <w:r w:rsidR="005C1745" w:rsidRPr="001E366B">
        <w:rPr>
          <w:sz w:val="24"/>
          <w:szCs w:val="24"/>
        </w:rPr>
        <w:t xml:space="preserve">uter </w:t>
      </w:r>
      <w:r w:rsidR="00C86CE5">
        <w:rPr>
          <w:sz w:val="24"/>
          <w:szCs w:val="24"/>
        </w:rPr>
        <w:t>r</w:t>
      </w:r>
      <w:r w:rsidR="005C1745" w:rsidRPr="001E366B">
        <w:rPr>
          <w:sz w:val="24"/>
          <w:szCs w:val="24"/>
        </w:rPr>
        <w:t>egional communities</w:t>
      </w:r>
      <w:r>
        <w:rPr>
          <w:sz w:val="24"/>
          <w:szCs w:val="24"/>
        </w:rPr>
        <w:t xml:space="preserve">, </w:t>
      </w:r>
      <w:r w:rsidR="008746A6">
        <w:rPr>
          <w:sz w:val="24"/>
          <w:szCs w:val="24"/>
        </w:rPr>
        <w:t xml:space="preserve">and </w:t>
      </w:r>
      <w:r w:rsidR="001E4B17" w:rsidRPr="001E366B">
        <w:rPr>
          <w:sz w:val="24"/>
          <w:szCs w:val="24"/>
        </w:rPr>
        <w:t>1.2%</w:t>
      </w:r>
      <w:r w:rsidR="005C1745" w:rsidRPr="001E366B">
        <w:rPr>
          <w:sz w:val="24"/>
          <w:szCs w:val="24"/>
        </w:rPr>
        <w:t xml:space="preserve"> work</w:t>
      </w:r>
      <w:r w:rsidR="001E4B17" w:rsidRPr="001E366B">
        <w:rPr>
          <w:sz w:val="24"/>
          <w:szCs w:val="24"/>
        </w:rPr>
        <w:t xml:space="preserve"> in remote </w:t>
      </w:r>
      <w:r w:rsidR="008746A6">
        <w:rPr>
          <w:sz w:val="24"/>
          <w:szCs w:val="24"/>
        </w:rPr>
        <w:t>or</w:t>
      </w:r>
      <w:r w:rsidR="008746A6" w:rsidRPr="001E366B">
        <w:rPr>
          <w:sz w:val="24"/>
          <w:szCs w:val="24"/>
        </w:rPr>
        <w:t xml:space="preserve"> </w:t>
      </w:r>
      <w:r w:rsidR="001E4B17" w:rsidRPr="001E366B">
        <w:rPr>
          <w:sz w:val="24"/>
          <w:szCs w:val="24"/>
        </w:rPr>
        <w:t>very remote locations</w:t>
      </w:r>
      <w:r w:rsidR="003C6F86">
        <w:rPr>
          <w:sz w:val="24"/>
          <w:szCs w:val="24"/>
        </w:rPr>
        <w:t>[4]</w:t>
      </w:r>
      <w:r w:rsidR="001E4B17" w:rsidRPr="001E366B">
        <w:rPr>
          <w:sz w:val="24"/>
          <w:szCs w:val="24"/>
        </w:rPr>
        <w:t xml:space="preserve">. </w:t>
      </w:r>
      <w:r w:rsidR="00A67C2C" w:rsidRPr="001E366B">
        <w:rPr>
          <w:sz w:val="24"/>
          <w:szCs w:val="24"/>
        </w:rPr>
        <w:t xml:space="preserve">As for </w:t>
      </w:r>
      <w:r w:rsidR="00275884" w:rsidRPr="001E366B">
        <w:rPr>
          <w:sz w:val="24"/>
          <w:szCs w:val="24"/>
        </w:rPr>
        <w:t xml:space="preserve">the </w:t>
      </w:r>
      <w:r w:rsidR="00184E3A" w:rsidRPr="001E366B">
        <w:rPr>
          <w:sz w:val="24"/>
          <w:szCs w:val="24"/>
        </w:rPr>
        <w:t xml:space="preserve">medical </w:t>
      </w:r>
      <w:proofErr w:type="gramStart"/>
      <w:r w:rsidR="00184E3A" w:rsidRPr="001E366B">
        <w:rPr>
          <w:sz w:val="24"/>
          <w:szCs w:val="24"/>
        </w:rPr>
        <w:t>workforce</w:t>
      </w:r>
      <w:r w:rsidR="003C6F86">
        <w:rPr>
          <w:sz w:val="24"/>
          <w:szCs w:val="24"/>
        </w:rPr>
        <w:t>[</w:t>
      </w:r>
      <w:proofErr w:type="gramEnd"/>
      <w:r w:rsidR="003C6F86">
        <w:rPr>
          <w:sz w:val="24"/>
          <w:szCs w:val="24"/>
        </w:rPr>
        <w:t>5]</w:t>
      </w:r>
      <w:r w:rsidR="00A67C2C" w:rsidRPr="001E366B">
        <w:rPr>
          <w:sz w:val="24"/>
          <w:szCs w:val="24"/>
        </w:rPr>
        <w:t>, t</w:t>
      </w:r>
      <w:r w:rsidR="00881ACA" w:rsidRPr="001E366B">
        <w:rPr>
          <w:sz w:val="24"/>
          <w:szCs w:val="24"/>
        </w:rPr>
        <w:t xml:space="preserve">he </w:t>
      </w:r>
      <w:r w:rsidR="00A67C2C" w:rsidRPr="001E366B">
        <w:rPr>
          <w:sz w:val="24"/>
          <w:szCs w:val="24"/>
        </w:rPr>
        <w:t xml:space="preserve">impact of </w:t>
      </w:r>
      <w:r w:rsidR="00C86CE5" w:rsidRPr="001E366B">
        <w:rPr>
          <w:sz w:val="24"/>
          <w:szCs w:val="24"/>
        </w:rPr>
        <w:t>th</w:t>
      </w:r>
      <w:r w:rsidR="00C86CE5">
        <w:rPr>
          <w:sz w:val="24"/>
          <w:szCs w:val="24"/>
        </w:rPr>
        <w:t>is</w:t>
      </w:r>
      <w:r w:rsidR="00C86CE5" w:rsidRPr="001E366B">
        <w:rPr>
          <w:sz w:val="24"/>
          <w:szCs w:val="24"/>
        </w:rPr>
        <w:t xml:space="preserve"> </w:t>
      </w:r>
      <w:r w:rsidR="00A67C2C" w:rsidRPr="001E366B">
        <w:rPr>
          <w:sz w:val="24"/>
          <w:szCs w:val="24"/>
        </w:rPr>
        <w:t xml:space="preserve">maldistribution is that </w:t>
      </w:r>
      <w:r w:rsidR="008746A6" w:rsidRPr="001E366B">
        <w:rPr>
          <w:sz w:val="24"/>
          <w:szCs w:val="24"/>
        </w:rPr>
        <w:t xml:space="preserve">health care </w:t>
      </w:r>
      <w:r w:rsidR="00A67C2C" w:rsidRPr="001E366B">
        <w:rPr>
          <w:sz w:val="24"/>
          <w:szCs w:val="24"/>
        </w:rPr>
        <w:t xml:space="preserve">access is limited for rural and remote Australians. </w:t>
      </w:r>
    </w:p>
    <w:p w14:paraId="7DC2F803" w14:textId="1CEFAC6B" w:rsidR="00275884" w:rsidRPr="001E366B" w:rsidRDefault="00C86CE5" w:rsidP="09084502">
      <w:pPr>
        <w:spacing w:line="360" w:lineRule="auto"/>
        <w:rPr>
          <w:rFonts w:ascii="Calibri" w:eastAsia="Calibri" w:hAnsi="Calibri" w:cs="Calibri"/>
          <w:sz w:val="24"/>
          <w:szCs w:val="24"/>
        </w:rPr>
      </w:pPr>
      <w:r>
        <w:rPr>
          <w:rFonts w:ascii="Calibri" w:eastAsia="Calibri" w:hAnsi="Calibri" w:cs="Calibri"/>
          <w:sz w:val="24"/>
          <w:szCs w:val="24"/>
        </w:rPr>
        <w:t>I</w:t>
      </w:r>
      <w:r w:rsidR="00C74593">
        <w:rPr>
          <w:rFonts w:ascii="Calibri" w:eastAsia="Calibri" w:hAnsi="Calibri" w:cs="Calibri"/>
          <w:sz w:val="24"/>
          <w:szCs w:val="24"/>
        </w:rPr>
        <w:t>n</w:t>
      </w:r>
      <w:r w:rsidR="00E6562C" w:rsidRPr="001E366B">
        <w:rPr>
          <w:rFonts w:ascii="Calibri" w:eastAsia="Calibri" w:hAnsi="Calibri" w:cs="Calibri"/>
          <w:sz w:val="24"/>
          <w:szCs w:val="24"/>
        </w:rPr>
        <w:t xml:space="preserve">adequacy of the </w:t>
      </w:r>
      <w:r w:rsidR="00C74593">
        <w:rPr>
          <w:rFonts w:ascii="Calibri" w:eastAsia="Calibri" w:hAnsi="Calibri" w:cs="Calibri"/>
          <w:sz w:val="24"/>
          <w:szCs w:val="24"/>
        </w:rPr>
        <w:t xml:space="preserve">rural </w:t>
      </w:r>
      <w:r w:rsidR="002D5285" w:rsidRPr="001E366B">
        <w:rPr>
          <w:rFonts w:ascii="Calibri" w:eastAsia="Calibri" w:hAnsi="Calibri" w:cs="Calibri"/>
          <w:sz w:val="24"/>
          <w:szCs w:val="24"/>
        </w:rPr>
        <w:t>p</w:t>
      </w:r>
      <w:r w:rsidR="00E70439" w:rsidRPr="001E366B">
        <w:rPr>
          <w:rFonts w:ascii="Calibri" w:eastAsia="Calibri" w:hAnsi="Calibri" w:cs="Calibri"/>
          <w:sz w:val="24"/>
          <w:szCs w:val="24"/>
        </w:rPr>
        <w:t xml:space="preserve">harmacy workforce </w:t>
      </w:r>
      <w:r>
        <w:rPr>
          <w:rFonts w:ascii="Calibri" w:eastAsia="Calibri" w:hAnsi="Calibri" w:cs="Calibri"/>
          <w:sz w:val="24"/>
          <w:szCs w:val="24"/>
        </w:rPr>
        <w:t>is</w:t>
      </w:r>
      <w:r w:rsidRPr="001E366B">
        <w:rPr>
          <w:rFonts w:ascii="Calibri" w:eastAsia="Calibri" w:hAnsi="Calibri" w:cs="Calibri"/>
          <w:sz w:val="24"/>
          <w:szCs w:val="24"/>
        </w:rPr>
        <w:t xml:space="preserve"> </w:t>
      </w:r>
      <w:r w:rsidR="761A33B2" w:rsidRPr="001E366B">
        <w:rPr>
          <w:rFonts w:ascii="Calibri" w:eastAsia="Calibri" w:hAnsi="Calibri" w:cs="Calibri"/>
          <w:sz w:val="24"/>
          <w:szCs w:val="24"/>
        </w:rPr>
        <w:t>not</w:t>
      </w:r>
      <w:r w:rsidR="002D5285" w:rsidRPr="001E366B">
        <w:rPr>
          <w:rFonts w:ascii="Calibri" w:eastAsia="Calibri" w:hAnsi="Calibri" w:cs="Calibri"/>
          <w:sz w:val="24"/>
          <w:szCs w:val="24"/>
        </w:rPr>
        <w:t xml:space="preserve"> unique to</w:t>
      </w:r>
      <w:r w:rsidR="00E70439" w:rsidRPr="001E366B">
        <w:rPr>
          <w:rFonts w:ascii="Calibri" w:eastAsia="Calibri" w:hAnsi="Calibri" w:cs="Calibri"/>
          <w:sz w:val="24"/>
          <w:szCs w:val="24"/>
        </w:rPr>
        <w:t xml:space="preserve"> Australia. </w:t>
      </w:r>
      <w:r w:rsidR="00F07FDB" w:rsidRPr="001E366B">
        <w:rPr>
          <w:rFonts w:ascii="Calibri" w:eastAsia="Calibri" w:hAnsi="Calibri" w:cs="Calibri"/>
          <w:sz w:val="24"/>
          <w:szCs w:val="24"/>
        </w:rPr>
        <w:t xml:space="preserve">A systematic review </w:t>
      </w:r>
      <w:r w:rsidR="00C74593">
        <w:rPr>
          <w:rFonts w:ascii="Calibri" w:eastAsia="Calibri" w:hAnsi="Calibri" w:cs="Calibri"/>
          <w:sz w:val="24"/>
          <w:szCs w:val="24"/>
        </w:rPr>
        <w:t>found</w:t>
      </w:r>
      <w:r w:rsidR="00F07FDB" w:rsidRPr="001E366B">
        <w:rPr>
          <w:rFonts w:ascii="Calibri" w:eastAsia="Calibri" w:hAnsi="Calibri" w:cs="Calibri"/>
          <w:sz w:val="24"/>
          <w:szCs w:val="24"/>
        </w:rPr>
        <w:t xml:space="preserve"> </w:t>
      </w:r>
      <w:r w:rsidR="2FE1E513" w:rsidRPr="001E366B">
        <w:rPr>
          <w:rFonts w:ascii="Calibri" w:eastAsia="Calibri" w:hAnsi="Calibri" w:cs="Calibri"/>
          <w:sz w:val="24"/>
          <w:szCs w:val="24"/>
        </w:rPr>
        <w:t xml:space="preserve">global pharmacy workforce to be </w:t>
      </w:r>
      <w:r>
        <w:rPr>
          <w:rFonts w:ascii="Calibri" w:eastAsia="Calibri" w:hAnsi="Calibri" w:cs="Calibri"/>
          <w:sz w:val="24"/>
          <w:szCs w:val="24"/>
        </w:rPr>
        <w:t xml:space="preserve">increasingly </w:t>
      </w:r>
      <w:r w:rsidR="2FE1E513" w:rsidRPr="001E366B">
        <w:rPr>
          <w:rFonts w:ascii="Calibri" w:eastAsia="Calibri" w:hAnsi="Calibri" w:cs="Calibri"/>
          <w:sz w:val="24"/>
          <w:szCs w:val="24"/>
        </w:rPr>
        <w:t xml:space="preserve">composed of females who were working </w:t>
      </w:r>
      <w:r w:rsidR="00011720">
        <w:rPr>
          <w:rFonts w:ascii="Calibri" w:eastAsia="Calibri" w:hAnsi="Calibri" w:cs="Calibri"/>
          <w:sz w:val="24"/>
          <w:szCs w:val="24"/>
        </w:rPr>
        <w:t xml:space="preserve">a diminishing number of </w:t>
      </w:r>
      <w:proofErr w:type="gramStart"/>
      <w:r w:rsidR="2FE1E513" w:rsidRPr="001E366B">
        <w:rPr>
          <w:rFonts w:ascii="Calibri" w:eastAsia="Calibri" w:hAnsi="Calibri" w:cs="Calibri"/>
          <w:sz w:val="24"/>
          <w:szCs w:val="24"/>
        </w:rPr>
        <w:t>hours</w:t>
      </w:r>
      <w:r w:rsidR="003C6F86">
        <w:rPr>
          <w:rFonts w:ascii="Calibri" w:eastAsia="Calibri" w:hAnsi="Calibri" w:cs="Calibri"/>
          <w:sz w:val="24"/>
          <w:szCs w:val="24"/>
        </w:rPr>
        <w:t>[</w:t>
      </w:r>
      <w:proofErr w:type="gramEnd"/>
      <w:r w:rsidR="003C6F86">
        <w:rPr>
          <w:rFonts w:ascii="Calibri" w:eastAsia="Calibri" w:hAnsi="Calibri" w:cs="Calibri"/>
          <w:sz w:val="24"/>
          <w:szCs w:val="24"/>
        </w:rPr>
        <w:t>6</w:t>
      </w:r>
      <w:r w:rsidR="007B0EA8">
        <w:rPr>
          <w:rFonts w:ascii="Calibri" w:eastAsia="Calibri" w:hAnsi="Calibri" w:cs="Calibri"/>
          <w:sz w:val="24"/>
          <w:szCs w:val="24"/>
        </w:rPr>
        <w:t>,7,8</w:t>
      </w:r>
      <w:r w:rsidR="003C6F86">
        <w:rPr>
          <w:rFonts w:ascii="Calibri" w:eastAsia="Calibri" w:hAnsi="Calibri" w:cs="Calibri"/>
          <w:sz w:val="24"/>
          <w:szCs w:val="24"/>
        </w:rPr>
        <w:t>]</w:t>
      </w:r>
      <w:r w:rsidR="00612B9A" w:rsidRPr="001E366B">
        <w:rPr>
          <w:rFonts w:ascii="Calibri" w:eastAsia="Calibri" w:hAnsi="Calibri" w:cs="Calibri"/>
          <w:sz w:val="24"/>
          <w:szCs w:val="24"/>
        </w:rPr>
        <w:t>.</w:t>
      </w:r>
      <w:r w:rsidR="006343BA" w:rsidRPr="001E366B">
        <w:rPr>
          <w:rFonts w:ascii="Calibri" w:eastAsia="Calibri" w:hAnsi="Calibri" w:cs="Calibri"/>
          <w:sz w:val="24"/>
          <w:szCs w:val="24"/>
        </w:rPr>
        <w:t xml:space="preserve"> </w:t>
      </w:r>
      <w:r w:rsidR="00F07FDB" w:rsidRPr="001E366B">
        <w:rPr>
          <w:rFonts w:ascii="Calibri" w:eastAsia="Calibri" w:hAnsi="Calibri" w:cs="Calibri"/>
          <w:sz w:val="24"/>
          <w:szCs w:val="24"/>
        </w:rPr>
        <w:t xml:space="preserve">Lower workforce participation rates </w:t>
      </w:r>
      <w:r w:rsidR="007B2BAD" w:rsidRPr="001E366B">
        <w:rPr>
          <w:rFonts w:ascii="Calibri" w:eastAsia="Calibri" w:hAnsi="Calibri" w:cs="Calibri"/>
          <w:sz w:val="24"/>
          <w:szCs w:val="24"/>
        </w:rPr>
        <w:t xml:space="preserve">parallel a decrease in the </w:t>
      </w:r>
      <w:r w:rsidR="2FE1E513" w:rsidRPr="001E366B">
        <w:rPr>
          <w:rFonts w:ascii="Calibri" w:eastAsia="Calibri" w:hAnsi="Calibri" w:cs="Calibri"/>
          <w:sz w:val="24"/>
          <w:szCs w:val="24"/>
        </w:rPr>
        <w:t xml:space="preserve">full-time equivalent </w:t>
      </w:r>
      <w:r w:rsidR="007B2BAD" w:rsidRPr="001E366B">
        <w:rPr>
          <w:rFonts w:ascii="Calibri" w:eastAsia="Calibri" w:hAnsi="Calibri" w:cs="Calibri"/>
          <w:sz w:val="24"/>
          <w:szCs w:val="24"/>
        </w:rPr>
        <w:t xml:space="preserve">pharmacists and </w:t>
      </w:r>
      <w:r w:rsidR="00275884" w:rsidRPr="001E366B">
        <w:rPr>
          <w:rFonts w:ascii="Calibri" w:eastAsia="Calibri" w:hAnsi="Calibri" w:cs="Calibri"/>
          <w:sz w:val="24"/>
          <w:szCs w:val="24"/>
        </w:rPr>
        <w:t xml:space="preserve">a </w:t>
      </w:r>
      <w:r w:rsidR="00262705" w:rsidRPr="001E366B">
        <w:rPr>
          <w:rFonts w:ascii="Calibri" w:eastAsia="Calibri" w:hAnsi="Calibri" w:cs="Calibri"/>
          <w:sz w:val="24"/>
          <w:szCs w:val="24"/>
        </w:rPr>
        <w:t xml:space="preserve">consequent </w:t>
      </w:r>
      <w:r w:rsidR="007B2BAD" w:rsidRPr="001E366B">
        <w:rPr>
          <w:rFonts w:ascii="Calibri" w:eastAsia="Calibri" w:hAnsi="Calibri" w:cs="Calibri"/>
          <w:sz w:val="24"/>
          <w:szCs w:val="24"/>
        </w:rPr>
        <w:t>shortage of qualified pharmacist</w:t>
      </w:r>
      <w:r w:rsidR="00F07FDB" w:rsidRPr="001E366B">
        <w:rPr>
          <w:rFonts w:ascii="Calibri" w:eastAsia="Calibri" w:hAnsi="Calibri" w:cs="Calibri"/>
          <w:sz w:val="24"/>
          <w:szCs w:val="24"/>
        </w:rPr>
        <w:t>s</w:t>
      </w:r>
      <w:r w:rsidR="00262705" w:rsidRPr="001E366B">
        <w:rPr>
          <w:rFonts w:ascii="Calibri" w:eastAsia="Calibri" w:hAnsi="Calibri" w:cs="Calibri"/>
          <w:sz w:val="24"/>
          <w:szCs w:val="24"/>
        </w:rPr>
        <w:t xml:space="preserve">. </w:t>
      </w:r>
    </w:p>
    <w:p w14:paraId="0968C7CB" w14:textId="780447F4" w:rsidR="00CF0BF4" w:rsidRPr="001E366B" w:rsidRDefault="00275884" w:rsidP="09084502">
      <w:pPr>
        <w:spacing w:line="360" w:lineRule="auto"/>
        <w:rPr>
          <w:rFonts w:ascii="Calibri" w:eastAsia="Calibri" w:hAnsi="Calibri" w:cs="Calibri"/>
          <w:sz w:val="24"/>
          <w:szCs w:val="24"/>
        </w:rPr>
      </w:pPr>
      <w:r w:rsidRPr="001E366B">
        <w:rPr>
          <w:rFonts w:ascii="Calibri" w:eastAsia="Calibri" w:hAnsi="Calibri" w:cs="Calibri"/>
          <w:sz w:val="24"/>
          <w:szCs w:val="24"/>
        </w:rPr>
        <w:t>T</w:t>
      </w:r>
      <w:r w:rsidR="009F7ACB" w:rsidRPr="001E366B">
        <w:rPr>
          <w:rFonts w:ascii="Calibri" w:eastAsia="Calibri" w:hAnsi="Calibri" w:cs="Calibri"/>
          <w:sz w:val="24"/>
          <w:szCs w:val="24"/>
        </w:rPr>
        <w:t xml:space="preserve">he role of pharmacists continues to evolve in </w:t>
      </w:r>
      <w:proofErr w:type="gramStart"/>
      <w:r w:rsidR="009F7ACB" w:rsidRPr="001E366B">
        <w:rPr>
          <w:rFonts w:ascii="Calibri" w:eastAsia="Calibri" w:hAnsi="Calibri" w:cs="Calibri"/>
          <w:sz w:val="24"/>
          <w:szCs w:val="24"/>
        </w:rPr>
        <w:t>Australia</w:t>
      </w:r>
      <w:r w:rsidR="007B0EA8">
        <w:rPr>
          <w:rFonts w:ascii="Calibri" w:eastAsia="Calibri" w:hAnsi="Calibri" w:cs="Calibri"/>
          <w:sz w:val="24"/>
          <w:szCs w:val="24"/>
        </w:rPr>
        <w:t>[</w:t>
      </w:r>
      <w:proofErr w:type="gramEnd"/>
      <w:r w:rsidR="007B0EA8">
        <w:rPr>
          <w:rFonts w:ascii="Calibri" w:eastAsia="Calibri" w:hAnsi="Calibri" w:cs="Calibri"/>
          <w:sz w:val="24"/>
          <w:szCs w:val="24"/>
        </w:rPr>
        <w:t>9,10</w:t>
      </w:r>
      <w:r w:rsidR="003C6F86">
        <w:rPr>
          <w:rFonts w:ascii="Calibri" w:eastAsia="Calibri" w:hAnsi="Calibri" w:cs="Calibri"/>
          <w:sz w:val="24"/>
          <w:szCs w:val="24"/>
        </w:rPr>
        <w:t>]</w:t>
      </w:r>
      <w:r w:rsidRPr="001E366B">
        <w:rPr>
          <w:rFonts w:ascii="Calibri" w:eastAsia="Calibri" w:hAnsi="Calibri" w:cs="Calibri"/>
          <w:sz w:val="24"/>
          <w:szCs w:val="24"/>
        </w:rPr>
        <w:t>,</w:t>
      </w:r>
      <w:r w:rsidR="009F7ACB" w:rsidRPr="001E366B">
        <w:rPr>
          <w:rFonts w:ascii="Calibri" w:eastAsia="Calibri" w:hAnsi="Calibri" w:cs="Calibri"/>
          <w:sz w:val="24"/>
          <w:szCs w:val="24"/>
          <w:vertAlign w:val="superscript"/>
        </w:rPr>
        <w:t xml:space="preserve"> </w:t>
      </w:r>
      <w:r w:rsidR="009F7ACB" w:rsidRPr="001E366B">
        <w:rPr>
          <w:rFonts w:ascii="Calibri" w:eastAsia="Calibri" w:hAnsi="Calibri" w:cs="Calibri"/>
          <w:sz w:val="24"/>
          <w:szCs w:val="24"/>
        </w:rPr>
        <w:t xml:space="preserve">as well </w:t>
      </w:r>
      <w:r w:rsidR="000502E6" w:rsidRPr="001E366B">
        <w:rPr>
          <w:rFonts w:ascii="Calibri" w:eastAsia="Calibri" w:hAnsi="Calibri" w:cs="Calibri"/>
          <w:sz w:val="24"/>
          <w:szCs w:val="24"/>
        </w:rPr>
        <w:t>as in other developed countries</w:t>
      </w:r>
      <w:r w:rsidR="007B0EA8">
        <w:rPr>
          <w:rFonts w:ascii="Calibri" w:eastAsia="Calibri" w:hAnsi="Calibri" w:cs="Calibri"/>
          <w:sz w:val="24"/>
          <w:szCs w:val="24"/>
        </w:rPr>
        <w:t>[11</w:t>
      </w:r>
      <w:r w:rsidR="003C6F86">
        <w:rPr>
          <w:rFonts w:ascii="Calibri" w:eastAsia="Calibri" w:hAnsi="Calibri" w:cs="Calibri"/>
          <w:sz w:val="24"/>
          <w:szCs w:val="24"/>
        </w:rPr>
        <w:t>]</w:t>
      </w:r>
      <w:r w:rsidR="009F7ACB" w:rsidRPr="001E366B">
        <w:rPr>
          <w:rFonts w:ascii="Calibri" w:eastAsia="Calibri" w:hAnsi="Calibri" w:cs="Calibri"/>
          <w:sz w:val="24"/>
          <w:szCs w:val="24"/>
        </w:rPr>
        <w:t xml:space="preserve">. </w:t>
      </w:r>
      <w:r w:rsidR="00F6676F">
        <w:rPr>
          <w:rFonts w:ascii="Calibri" w:eastAsia="Calibri" w:hAnsi="Calibri" w:cs="Calibri"/>
          <w:sz w:val="24"/>
          <w:szCs w:val="24"/>
        </w:rPr>
        <w:t>C</w:t>
      </w:r>
      <w:r w:rsidR="007842FF" w:rsidRPr="001E366B">
        <w:rPr>
          <w:rFonts w:ascii="Calibri" w:eastAsia="Calibri" w:hAnsi="Calibri" w:cs="Calibri"/>
          <w:sz w:val="24"/>
          <w:szCs w:val="24"/>
        </w:rPr>
        <w:t>ha</w:t>
      </w:r>
      <w:r w:rsidR="002A1992" w:rsidRPr="001E366B">
        <w:rPr>
          <w:rFonts w:ascii="Calibri" w:eastAsia="Calibri" w:hAnsi="Calibri" w:cs="Calibri"/>
          <w:sz w:val="24"/>
          <w:szCs w:val="24"/>
        </w:rPr>
        <w:t xml:space="preserve">nges have been towards </w:t>
      </w:r>
      <w:r w:rsidR="00F6676F" w:rsidRPr="001E366B">
        <w:rPr>
          <w:rFonts w:ascii="Calibri" w:eastAsia="Calibri" w:hAnsi="Calibri" w:cs="Calibri"/>
          <w:sz w:val="24"/>
          <w:szCs w:val="24"/>
        </w:rPr>
        <w:t xml:space="preserve">more patient-centred </w:t>
      </w:r>
      <w:r w:rsidR="00F6676F">
        <w:rPr>
          <w:rFonts w:ascii="Calibri" w:eastAsia="Calibri" w:hAnsi="Calibri" w:cs="Calibri"/>
          <w:sz w:val="24"/>
          <w:szCs w:val="24"/>
        </w:rPr>
        <w:t xml:space="preserve">practice </w:t>
      </w:r>
      <w:r w:rsidR="007842FF" w:rsidRPr="001E366B">
        <w:rPr>
          <w:rFonts w:ascii="Calibri" w:eastAsia="Calibri" w:hAnsi="Calibri" w:cs="Calibri"/>
          <w:sz w:val="24"/>
          <w:szCs w:val="24"/>
        </w:rPr>
        <w:t>models</w:t>
      </w:r>
      <w:r w:rsidR="74D2DC97" w:rsidRPr="001E366B">
        <w:rPr>
          <w:rFonts w:ascii="Calibri" w:eastAsia="Calibri" w:hAnsi="Calibri" w:cs="Calibri"/>
          <w:sz w:val="24"/>
          <w:szCs w:val="24"/>
        </w:rPr>
        <w:t>,</w:t>
      </w:r>
      <w:r w:rsidR="007842FF" w:rsidRPr="001E366B">
        <w:rPr>
          <w:rFonts w:ascii="Calibri" w:eastAsia="Calibri" w:hAnsi="Calibri" w:cs="Calibri"/>
          <w:sz w:val="24"/>
          <w:szCs w:val="24"/>
        </w:rPr>
        <w:t xml:space="preserve"> such as medication ma</w:t>
      </w:r>
      <w:r w:rsidR="000502E6" w:rsidRPr="001E366B">
        <w:rPr>
          <w:rFonts w:ascii="Calibri" w:eastAsia="Calibri" w:hAnsi="Calibri" w:cs="Calibri"/>
          <w:sz w:val="24"/>
          <w:szCs w:val="24"/>
        </w:rPr>
        <w:t xml:space="preserve">nagement and </w:t>
      </w:r>
      <w:proofErr w:type="gramStart"/>
      <w:r w:rsidR="000502E6" w:rsidRPr="001E366B">
        <w:rPr>
          <w:rFonts w:ascii="Calibri" w:eastAsia="Calibri" w:hAnsi="Calibri" w:cs="Calibri"/>
          <w:sz w:val="24"/>
          <w:szCs w:val="24"/>
        </w:rPr>
        <w:t>review</w:t>
      </w:r>
      <w:r w:rsidR="003C6F86">
        <w:rPr>
          <w:rFonts w:ascii="Calibri" w:eastAsia="Calibri" w:hAnsi="Calibri" w:cs="Calibri"/>
          <w:sz w:val="24"/>
          <w:szCs w:val="24"/>
        </w:rPr>
        <w:t>[</w:t>
      </w:r>
      <w:proofErr w:type="gramEnd"/>
      <w:r w:rsidR="007B0EA8">
        <w:rPr>
          <w:rFonts w:ascii="Calibri" w:eastAsia="Calibri" w:hAnsi="Calibri" w:cs="Calibri"/>
          <w:sz w:val="24"/>
          <w:szCs w:val="24"/>
        </w:rPr>
        <w:t>11,12</w:t>
      </w:r>
      <w:r w:rsidR="003C6F86">
        <w:rPr>
          <w:rFonts w:ascii="Calibri" w:eastAsia="Calibri" w:hAnsi="Calibri" w:cs="Calibri"/>
          <w:sz w:val="24"/>
          <w:szCs w:val="24"/>
        </w:rPr>
        <w:t>]</w:t>
      </w:r>
      <w:r w:rsidR="007842FF" w:rsidRPr="001E366B">
        <w:rPr>
          <w:rFonts w:ascii="Calibri" w:eastAsia="Calibri" w:hAnsi="Calibri" w:cs="Calibri"/>
          <w:sz w:val="24"/>
          <w:szCs w:val="24"/>
        </w:rPr>
        <w:t xml:space="preserve">. While broadening of the scope of practice of pharmacists is a positive development, it presents challenges for the regional, </w:t>
      </w:r>
      <w:proofErr w:type="gramStart"/>
      <w:r w:rsidR="007842FF" w:rsidRPr="001E366B">
        <w:rPr>
          <w:rFonts w:ascii="Calibri" w:eastAsia="Calibri" w:hAnsi="Calibri" w:cs="Calibri"/>
          <w:sz w:val="24"/>
          <w:szCs w:val="24"/>
        </w:rPr>
        <w:t>rural</w:t>
      </w:r>
      <w:proofErr w:type="gramEnd"/>
      <w:r w:rsidR="007842FF" w:rsidRPr="001E366B">
        <w:rPr>
          <w:rFonts w:ascii="Calibri" w:eastAsia="Calibri" w:hAnsi="Calibri" w:cs="Calibri"/>
          <w:sz w:val="24"/>
          <w:szCs w:val="24"/>
        </w:rPr>
        <w:t xml:space="preserve"> and remote practitioners </w:t>
      </w:r>
      <w:r w:rsidRPr="001E366B">
        <w:rPr>
          <w:rFonts w:ascii="Calibri" w:eastAsia="Calibri" w:hAnsi="Calibri" w:cs="Calibri"/>
          <w:sz w:val="24"/>
          <w:szCs w:val="24"/>
        </w:rPr>
        <w:t>when</w:t>
      </w:r>
      <w:r w:rsidR="007842FF" w:rsidRPr="001E366B">
        <w:rPr>
          <w:rFonts w:ascii="Calibri" w:eastAsia="Calibri" w:hAnsi="Calibri" w:cs="Calibri"/>
          <w:sz w:val="24"/>
          <w:szCs w:val="24"/>
        </w:rPr>
        <w:t xml:space="preserve"> there is a</w:t>
      </w:r>
      <w:r w:rsidRPr="001E366B">
        <w:rPr>
          <w:rFonts w:ascii="Calibri" w:eastAsia="Calibri" w:hAnsi="Calibri" w:cs="Calibri"/>
          <w:sz w:val="24"/>
          <w:szCs w:val="24"/>
        </w:rPr>
        <w:t xml:space="preserve"> workforce</w:t>
      </w:r>
      <w:r w:rsidR="007842FF" w:rsidRPr="001E366B">
        <w:rPr>
          <w:rFonts w:ascii="Calibri" w:eastAsia="Calibri" w:hAnsi="Calibri" w:cs="Calibri"/>
          <w:sz w:val="24"/>
          <w:szCs w:val="24"/>
        </w:rPr>
        <w:t xml:space="preserve"> undersupply. </w:t>
      </w:r>
      <w:r w:rsidR="00F6676F">
        <w:rPr>
          <w:rFonts w:ascii="Calibri" w:eastAsia="Calibri" w:hAnsi="Calibri" w:cs="Calibri"/>
          <w:sz w:val="24"/>
          <w:szCs w:val="24"/>
        </w:rPr>
        <w:t>E</w:t>
      </w:r>
      <w:r w:rsidR="007842FF" w:rsidRPr="001E366B">
        <w:rPr>
          <w:rFonts w:ascii="Calibri" w:eastAsia="Calibri" w:hAnsi="Calibri" w:cs="Calibri"/>
          <w:sz w:val="24"/>
          <w:szCs w:val="24"/>
        </w:rPr>
        <w:t>xpectation</w:t>
      </w:r>
      <w:r w:rsidR="00F6676F">
        <w:rPr>
          <w:rFonts w:ascii="Calibri" w:eastAsia="Calibri" w:hAnsi="Calibri" w:cs="Calibri"/>
          <w:sz w:val="24"/>
          <w:szCs w:val="24"/>
        </w:rPr>
        <w:t>s</w:t>
      </w:r>
      <w:r w:rsidR="007842FF" w:rsidRPr="001E366B">
        <w:rPr>
          <w:rFonts w:ascii="Calibri" w:eastAsia="Calibri" w:hAnsi="Calibri" w:cs="Calibri"/>
          <w:sz w:val="24"/>
          <w:szCs w:val="24"/>
        </w:rPr>
        <w:t xml:space="preserve"> that pharmacists perform a wider range of duties places demands on the </w:t>
      </w:r>
      <w:r w:rsidR="005B5DD8">
        <w:rPr>
          <w:rFonts w:ascii="Calibri" w:eastAsia="Calibri" w:hAnsi="Calibri" w:cs="Calibri"/>
          <w:sz w:val="24"/>
          <w:szCs w:val="24"/>
        </w:rPr>
        <w:t>practitioners</w:t>
      </w:r>
      <w:r w:rsidR="005B5DD8" w:rsidRPr="001E366B">
        <w:rPr>
          <w:rFonts w:ascii="Calibri" w:eastAsia="Calibri" w:hAnsi="Calibri" w:cs="Calibri"/>
          <w:sz w:val="24"/>
          <w:szCs w:val="24"/>
        </w:rPr>
        <w:t xml:space="preserve"> </w:t>
      </w:r>
      <w:r w:rsidR="0016187A" w:rsidRPr="001E366B">
        <w:rPr>
          <w:rFonts w:ascii="Calibri" w:eastAsia="Calibri" w:hAnsi="Calibri" w:cs="Calibri"/>
          <w:sz w:val="24"/>
          <w:szCs w:val="24"/>
        </w:rPr>
        <w:t xml:space="preserve">in terms of time and availability. It also </w:t>
      </w:r>
      <w:r w:rsidR="007842FF" w:rsidRPr="001E366B">
        <w:rPr>
          <w:rFonts w:ascii="Calibri" w:eastAsia="Calibri" w:hAnsi="Calibri" w:cs="Calibri"/>
          <w:sz w:val="24"/>
          <w:szCs w:val="24"/>
        </w:rPr>
        <w:t xml:space="preserve">creates the need for </w:t>
      </w:r>
      <w:r w:rsidR="00E6562C" w:rsidRPr="001E366B">
        <w:rPr>
          <w:rFonts w:ascii="Calibri" w:eastAsia="Calibri" w:hAnsi="Calibri" w:cs="Calibri"/>
          <w:sz w:val="24"/>
          <w:szCs w:val="24"/>
        </w:rPr>
        <w:t>accredit</w:t>
      </w:r>
      <w:r w:rsidR="00F6676F">
        <w:rPr>
          <w:rFonts w:ascii="Calibri" w:eastAsia="Calibri" w:hAnsi="Calibri" w:cs="Calibri"/>
          <w:sz w:val="24"/>
          <w:szCs w:val="24"/>
        </w:rPr>
        <w:t>ed</w:t>
      </w:r>
      <w:r w:rsidR="00CF0BF4" w:rsidRPr="001E366B">
        <w:rPr>
          <w:rFonts w:ascii="Calibri" w:eastAsia="Calibri" w:hAnsi="Calibri" w:cs="Calibri"/>
          <w:sz w:val="24"/>
          <w:szCs w:val="24"/>
        </w:rPr>
        <w:t xml:space="preserve"> and continuing professional development</w:t>
      </w:r>
      <w:r w:rsidR="00B819CC">
        <w:rPr>
          <w:rFonts w:ascii="Calibri" w:eastAsia="Calibri" w:hAnsi="Calibri" w:cs="Calibri"/>
          <w:sz w:val="24"/>
          <w:szCs w:val="24"/>
        </w:rPr>
        <w:t xml:space="preserve"> (CPD)</w:t>
      </w:r>
      <w:r w:rsidR="00CF0BF4" w:rsidRPr="001E366B">
        <w:rPr>
          <w:rFonts w:ascii="Calibri" w:eastAsia="Calibri" w:hAnsi="Calibri" w:cs="Calibri"/>
          <w:sz w:val="24"/>
          <w:szCs w:val="24"/>
        </w:rPr>
        <w:t>, which can be difficult to access outside metropolitan areas</w:t>
      </w:r>
      <w:r w:rsidR="0016187A" w:rsidRPr="001E366B">
        <w:rPr>
          <w:rFonts w:ascii="Calibri" w:eastAsia="Calibri" w:hAnsi="Calibri" w:cs="Calibri"/>
          <w:sz w:val="24"/>
          <w:szCs w:val="24"/>
        </w:rPr>
        <w:t xml:space="preserve"> </w:t>
      </w:r>
      <w:r w:rsidRPr="001E366B">
        <w:rPr>
          <w:rFonts w:ascii="Calibri" w:eastAsia="Calibri" w:hAnsi="Calibri" w:cs="Calibri"/>
          <w:sz w:val="24"/>
          <w:szCs w:val="24"/>
        </w:rPr>
        <w:t>because of</w:t>
      </w:r>
      <w:r w:rsidR="0016187A" w:rsidRPr="001E366B">
        <w:rPr>
          <w:rFonts w:ascii="Calibri" w:eastAsia="Calibri" w:hAnsi="Calibri" w:cs="Calibri"/>
          <w:sz w:val="24"/>
          <w:szCs w:val="24"/>
        </w:rPr>
        <w:t xml:space="preserve"> cost</w:t>
      </w:r>
      <w:r w:rsidR="009A147C" w:rsidRPr="001E366B">
        <w:rPr>
          <w:rFonts w:ascii="Calibri" w:eastAsia="Calibri" w:hAnsi="Calibri" w:cs="Calibri"/>
          <w:sz w:val="24"/>
          <w:szCs w:val="24"/>
        </w:rPr>
        <w:t>s</w:t>
      </w:r>
      <w:r w:rsidR="0016187A" w:rsidRPr="001E366B">
        <w:rPr>
          <w:rFonts w:ascii="Calibri" w:eastAsia="Calibri" w:hAnsi="Calibri" w:cs="Calibri"/>
          <w:sz w:val="24"/>
          <w:szCs w:val="24"/>
        </w:rPr>
        <w:t xml:space="preserve"> of registration and travel</w:t>
      </w:r>
      <w:r w:rsidR="009A147C" w:rsidRPr="001E366B">
        <w:rPr>
          <w:rFonts w:ascii="Calibri" w:eastAsia="Calibri" w:hAnsi="Calibri" w:cs="Calibri"/>
          <w:sz w:val="24"/>
          <w:szCs w:val="24"/>
        </w:rPr>
        <w:t xml:space="preserve">, as well as </w:t>
      </w:r>
      <w:r w:rsidR="0016187A" w:rsidRPr="001E366B">
        <w:rPr>
          <w:rFonts w:ascii="Calibri" w:eastAsia="Calibri" w:hAnsi="Calibri" w:cs="Calibri"/>
          <w:sz w:val="24"/>
          <w:szCs w:val="24"/>
        </w:rPr>
        <w:t xml:space="preserve">time way from family and the community </w:t>
      </w:r>
      <w:r w:rsidR="00D22C67">
        <w:rPr>
          <w:rFonts w:ascii="Calibri" w:eastAsia="Calibri" w:hAnsi="Calibri" w:cs="Calibri"/>
          <w:sz w:val="24"/>
          <w:szCs w:val="24"/>
        </w:rPr>
        <w:t xml:space="preserve">that the </w:t>
      </w:r>
      <w:r w:rsidR="00411536">
        <w:rPr>
          <w:rFonts w:ascii="Calibri" w:eastAsia="Calibri" w:hAnsi="Calibri" w:cs="Calibri"/>
          <w:sz w:val="24"/>
          <w:szCs w:val="24"/>
        </w:rPr>
        <w:lastRenderedPageBreak/>
        <w:t>pharmacists</w:t>
      </w:r>
      <w:r w:rsidR="0016187A" w:rsidRPr="001E366B">
        <w:rPr>
          <w:rFonts w:ascii="Calibri" w:eastAsia="Calibri" w:hAnsi="Calibri" w:cs="Calibri"/>
          <w:sz w:val="24"/>
          <w:szCs w:val="24"/>
        </w:rPr>
        <w:t xml:space="preserve"> serve</w:t>
      </w:r>
      <w:r w:rsidR="00E6562C" w:rsidRPr="001E366B">
        <w:rPr>
          <w:rFonts w:ascii="Calibri" w:eastAsia="Calibri" w:hAnsi="Calibri" w:cs="Calibri"/>
          <w:sz w:val="24"/>
          <w:szCs w:val="24"/>
        </w:rPr>
        <w:t>.</w:t>
      </w:r>
      <w:r w:rsidR="008D4B8F" w:rsidRPr="001E366B">
        <w:rPr>
          <w:rFonts w:ascii="Calibri" w:eastAsia="Calibri" w:hAnsi="Calibri" w:cs="Calibri"/>
          <w:sz w:val="24"/>
          <w:szCs w:val="24"/>
        </w:rPr>
        <w:t xml:space="preserve"> </w:t>
      </w:r>
      <w:r w:rsidR="00E6562C" w:rsidRPr="001E366B">
        <w:rPr>
          <w:rFonts w:ascii="Calibri" w:eastAsia="Calibri" w:hAnsi="Calibri" w:cs="Calibri"/>
          <w:sz w:val="24"/>
          <w:szCs w:val="24"/>
        </w:rPr>
        <w:t xml:space="preserve">This is </w:t>
      </w:r>
      <w:r w:rsidR="002D5285" w:rsidRPr="001E366B">
        <w:rPr>
          <w:rFonts w:ascii="Calibri" w:eastAsia="Calibri" w:hAnsi="Calibri" w:cs="Calibri"/>
          <w:sz w:val="24"/>
          <w:szCs w:val="24"/>
        </w:rPr>
        <w:t>exacerbated in small</w:t>
      </w:r>
      <w:r w:rsidR="00E6562C" w:rsidRPr="001E366B">
        <w:rPr>
          <w:rFonts w:ascii="Calibri" w:eastAsia="Calibri" w:hAnsi="Calibri" w:cs="Calibri"/>
          <w:sz w:val="24"/>
          <w:szCs w:val="24"/>
        </w:rPr>
        <w:t xml:space="preserve"> communities where the </w:t>
      </w:r>
      <w:r w:rsidR="002D5285" w:rsidRPr="001E366B">
        <w:rPr>
          <w:rFonts w:ascii="Calibri" w:eastAsia="Calibri" w:hAnsi="Calibri" w:cs="Calibri"/>
          <w:sz w:val="24"/>
          <w:szCs w:val="24"/>
        </w:rPr>
        <w:t xml:space="preserve">local </w:t>
      </w:r>
      <w:r w:rsidR="00E6562C" w:rsidRPr="001E366B">
        <w:rPr>
          <w:rFonts w:ascii="Calibri" w:eastAsia="Calibri" w:hAnsi="Calibri" w:cs="Calibri"/>
          <w:sz w:val="24"/>
          <w:szCs w:val="24"/>
        </w:rPr>
        <w:t xml:space="preserve">pharmacist </w:t>
      </w:r>
      <w:r w:rsidR="00F6676F">
        <w:rPr>
          <w:rFonts w:ascii="Calibri" w:eastAsia="Calibri" w:hAnsi="Calibri" w:cs="Calibri"/>
          <w:sz w:val="24"/>
          <w:szCs w:val="24"/>
        </w:rPr>
        <w:t>is</w:t>
      </w:r>
      <w:r w:rsidR="0016187A" w:rsidRPr="001E366B">
        <w:rPr>
          <w:rFonts w:ascii="Calibri" w:eastAsia="Calibri" w:hAnsi="Calibri" w:cs="Calibri"/>
          <w:sz w:val="24"/>
          <w:szCs w:val="24"/>
        </w:rPr>
        <w:t xml:space="preserve"> a sole </w:t>
      </w:r>
      <w:proofErr w:type="gramStart"/>
      <w:r w:rsidR="0016187A" w:rsidRPr="001E366B">
        <w:rPr>
          <w:rFonts w:ascii="Calibri" w:eastAsia="Calibri" w:hAnsi="Calibri" w:cs="Calibri"/>
          <w:sz w:val="24"/>
          <w:szCs w:val="24"/>
        </w:rPr>
        <w:t>practitioner</w:t>
      </w:r>
      <w:r w:rsidR="007B0EA8">
        <w:rPr>
          <w:rFonts w:ascii="Calibri" w:eastAsia="Calibri" w:hAnsi="Calibri" w:cs="Calibri"/>
          <w:sz w:val="24"/>
          <w:szCs w:val="24"/>
        </w:rPr>
        <w:t>[</w:t>
      </w:r>
      <w:proofErr w:type="gramEnd"/>
      <w:r w:rsidR="007B0EA8">
        <w:rPr>
          <w:rFonts w:ascii="Calibri" w:eastAsia="Calibri" w:hAnsi="Calibri" w:cs="Calibri"/>
          <w:sz w:val="24"/>
          <w:szCs w:val="24"/>
        </w:rPr>
        <w:t>13,14,15</w:t>
      </w:r>
      <w:r w:rsidR="007474DE">
        <w:rPr>
          <w:rFonts w:ascii="Calibri" w:eastAsia="Calibri" w:hAnsi="Calibri" w:cs="Calibri"/>
          <w:sz w:val="24"/>
          <w:szCs w:val="24"/>
        </w:rPr>
        <w:t>]</w:t>
      </w:r>
      <w:r w:rsidR="005B5DD8">
        <w:rPr>
          <w:rFonts w:ascii="Calibri" w:eastAsia="Calibri" w:hAnsi="Calibri" w:cs="Calibri"/>
          <w:sz w:val="24"/>
          <w:szCs w:val="24"/>
        </w:rPr>
        <w:t>.</w:t>
      </w:r>
      <w:r w:rsidR="00CF0BF4" w:rsidRPr="001E366B">
        <w:rPr>
          <w:rFonts w:ascii="Calibri" w:eastAsia="Calibri" w:hAnsi="Calibri" w:cs="Calibri"/>
          <w:sz w:val="24"/>
          <w:szCs w:val="24"/>
        </w:rPr>
        <w:t xml:space="preserve"> </w:t>
      </w:r>
    </w:p>
    <w:p w14:paraId="73763CB6" w14:textId="11B5CAE0" w:rsidR="003627D1" w:rsidRPr="001E366B" w:rsidRDefault="005B5DD8" w:rsidP="09084502">
      <w:pPr>
        <w:spacing w:line="360" w:lineRule="auto"/>
        <w:rPr>
          <w:rFonts w:ascii="Calibri" w:eastAsia="Calibri" w:hAnsi="Calibri" w:cs="Calibri"/>
          <w:sz w:val="24"/>
          <w:szCs w:val="24"/>
        </w:rPr>
      </w:pPr>
      <w:r>
        <w:rPr>
          <w:rFonts w:ascii="Calibri" w:eastAsia="Calibri" w:hAnsi="Calibri" w:cs="Calibri"/>
          <w:sz w:val="24"/>
          <w:szCs w:val="24"/>
        </w:rPr>
        <w:t>P</w:t>
      </w:r>
      <w:r w:rsidR="00146AB2" w:rsidRPr="001E366B">
        <w:rPr>
          <w:rFonts w:ascii="Calibri" w:eastAsia="Calibri" w:hAnsi="Calibri" w:cs="Calibri"/>
          <w:sz w:val="24"/>
          <w:szCs w:val="24"/>
        </w:rPr>
        <w:t>harmac</w:t>
      </w:r>
      <w:r w:rsidR="009A147C" w:rsidRPr="001E366B">
        <w:rPr>
          <w:rFonts w:ascii="Calibri" w:eastAsia="Calibri" w:hAnsi="Calibri" w:cs="Calibri"/>
          <w:sz w:val="24"/>
          <w:szCs w:val="24"/>
        </w:rPr>
        <w:t xml:space="preserve">ists </w:t>
      </w:r>
      <w:r w:rsidR="00F6676F">
        <w:rPr>
          <w:rFonts w:ascii="Calibri" w:eastAsia="Calibri" w:hAnsi="Calibri" w:cs="Calibri"/>
          <w:sz w:val="24"/>
          <w:szCs w:val="24"/>
        </w:rPr>
        <w:t xml:space="preserve">are also </w:t>
      </w:r>
      <w:r w:rsidR="00F6676F" w:rsidRPr="001E366B">
        <w:rPr>
          <w:rFonts w:ascii="Calibri" w:eastAsia="Calibri" w:hAnsi="Calibri" w:cs="Calibri"/>
          <w:sz w:val="24"/>
          <w:szCs w:val="24"/>
        </w:rPr>
        <w:t>expect</w:t>
      </w:r>
      <w:r w:rsidR="00F6676F">
        <w:rPr>
          <w:rFonts w:ascii="Calibri" w:eastAsia="Calibri" w:hAnsi="Calibri" w:cs="Calibri"/>
          <w:sz w:val="24"/>
          <w:szCs w:val="24"/>
        </w:rPr>
        <w:t>ed</w:t>
      </w:r>
      <w:r w:rsidR="00F6676F" w:rsidRPr="001E366B">
        <w:rPr>
          <w:rFonts w:ascii="Calibri" w:eastAsia="Calibri" w:hAnsi="Calibri" w:cs="Calibri"/>
          <w:sz w:val="24"/>
          <w:szCs w:val="24"/>
        </w:rPr>
        <w:t xml:space="preserve"> </w:t>
      </w:r>
      <w:r w:rsidR="00146AB2" w:rsidRPr="001E366B">
        <w:rPr>
          <w:rFonts w:ascii="Calibri" w:eastAsia="Calibri" w:hAnsi="Calibri" w:cs="Calibri"/>
          <w:sz w:val="24"/>
          <w:szCs w:val="24"/>
        </w:rPr>
        <w:t xml:space="preserve">to contribute to clinical </w:t>
      </w:r>
      <w:r>
        <w:rPr>
          <w:rFonts w:ascii="Calibri" w:eastAsia="Calibri" w:hAnsi="Calibri" w:cs="Calibri"/>
          <w:sz w:val="24"/>
          <w:szCs w:val="24"/>
        </w:rPr>
        <w:t>preceptorship</w:t>
      </w:r>
      <w:r w:rsidRPr="001E366B">
        <w:rPr>
          <w:rFonts w:ascii="Calibri" w:eastAsia="Calibri" w:hAnsi="Calibri" w:cs="Calibri"/>
          <w:sz w:val="24"/>
          <w:szCs w:val="24"/>
        </w:rPr>
        <w:t xml:space="preserve"> </w:t>
      </w:r>
      <w:r w:rsidR="00146AB2" w:rsidRPr="001E366B">
        <w:rPr>
          <w:rFonts w:ascii="Calibri" w:eastAsia="Calibri" w:hAnsi="Calibri" w:cs="Calibri"/>
          <w:sz w:val="24"/>
          <w:szCs w:val="24"/>
        </w:rPr>
        <w:t>of pharmacy students</w:t>
      </w:r>
      <w:r w:rsidR="00835D13">
        <w:rPr>
          <w:rFonts w:ascii="Calibri" w:eastAsia="Calibri" w:hAnsi="Calibri" w:cs="Calibri"/>
          <w:sz w:val="24"/>
          <w:szCs w:val="24"/>
        </w:rPr>
        <w:t xml:space="preserve"> and new </w:t>
      </w:r>
      <w:proofErr w:type="gramStart"/>
      <w:r w:rsidR="00835D13">
        <w:rPr>
          <w:rFonts w:ascii="Calibri" w:eastAsia="Calibri" w:hAnsi="Calibri" w:cs="Calibri"/>
          <w:sz w:val="24"/>
          <w:szCs w:val="24"/>
        </w:rPr>
        <w:t>graduates</w:t>
      </w:r>
      <w:r w:rsidR="007474DE">
        <w:rPr>
          <w:rFonts w:ascii="Calibri" w:eastAsia="Calibri" w:hAnsi="Calibri" w:cs="Calibri"/>
          <w:sz w:val="24"/>
          <w:szCs w:val="24"/>
        </w:rPr>
        <w:t>[</w:t>
      </w:r>
      <w:proofErr w:type="gramEnd"/>
      <w:r w:rsidR="007474DE">
        <w:rPr>
          <w:rFonts w:ascii="Calibri" w:eastAsia="Calibri" w:hAnsi="Calibri" w:cs="Calibri"/>
          <w:sz w:val="24"/>
          <w:szCs w:val="24"/>
        </w:rPr>
        <w:t>16]</w:t>
      </w:r>
      <w:r w:rsidR="00146AB2" w:rsidRPr="001E366B">
        <w:rPr>
          <w:rFonts w:ascii="Calibri" w:eastAsia="Calibri" w:hAnsi="Calibri" w:cs="Calibri"/>
          <w:sz w:val="24"/>
          <w:szCs w:val="24"/>
        </w:rPr>
        <w:t xml:space="preserve">. </w:t>
      </w:r>
      <w:r w:rsidR="00B20946">
        <w:rPr>
          <w:rFonts w:ascii="Calibri" w:eastAsia="Calibri" w:hAnsi="Calibri" w:cs="Calibri"/>
          <w:sz w:val="24"/>
          <w:szCs w:val="24"/>
        </w:rPr>
        <w:t>I</w:t>
      </w:r>
      <w:r w:rsidR="00B20946" w:rsidRPr="001E366B">
        <w:rPr>
          <w:rFonts w:ascii="Calibri" w:eastAsia="Calibri" w:hAnsi="Calibri" w:cs="Calibri"/>
          <w:sz w:val="24"/>
          <w:szCs w:val="24"/>
        </w:rPr>
        <w:t>n 2019 there were 7,200 domestic undergraduate, 1,688 international undergraduate, and 2,154 graduate entry pharmacy students enrolled</w:t>
      </w:r>
      <w:r w:rsidR="00B20946">
        <w:rPr>
          <w:rFonts w:ascii="Calibri" w:eastAsia="Calibri" w:hAnsi="Calibri" w:cs="Calibri"/>
          <w:sz w:val="24"/>
          <w:szCs w:val="24"/>
        </w:rPr>
        <w:t xml:space="preserve"> at Australian universities</w:t>
      </w:r>
      <w:r w:rsidR="00B20946" w:rsidRPr="001E366B">
        <w:rPr>
          <w:rFonts w:ascii="Calibri" w:eastAsia="Calibri" w:hAnsi="Calibri" w:cs="Calibri"/>
          <w:sz w:val="24"/>
          <w:szCs w:val="24"/>
        </w:rPr>
        <w:t>, with a graduate employment rate of approximately 95</w:t>
      </w:r>
      <w:proofErr w:type="gramStart"/>
      <w:r w:rsidR="00B20946" w:rsidRPr="001E366B">
        <w:rPr>
          <w:rFonts w:ascii="Calibri" w:eastAsia="Calibri" w:hAnsi="Calibri" w:cs="Calibri"/>
          <w:sz w:val="24"/>
          <w:szCs w:val="24"/>
        </w:rPr>
        <w:t>%</w:t>
      </w:r>
      <w:r w:rsidR="007474DE">
        <w:rPr>
          <w:rFonts w:ascii="Calibri" w:eastAsia="Calibri" w:hAnsi="Calibri" w:cs="Calibri"/>
          <w:sz w:val="24"/>
          <w:szCs w:val="24"/>
        </w:rPr>
        <w:t>[</w:t>
      </w:r>
      <w:proofErr w:type="gramEnd"/>
      <w:r w:rsidR="007474DE">
        <w:rPr>
          <w:rFonts w:ascii="Calibri" w:eastAsia="Calibri" w:hAnsi="Calibri" w:cs="Calibri"/>
          <w:sz w:val="24"/>
          <w:szCs w:val="24"/>
        </w:rPr>
        <w:t>17]</w:t>
      </w:r>
      <w:r w:rsidR="00B20946" w:rsidRPr="001E366B">
        <w:rPr>
          <w:rFonts w:ascii="Calibri" w:eastAsia="Calibri" w:hAnsi="Calibri" w:cs="Calibri"/>
          <w:sz w:val="24"/>
          <w:szCs w:val="24"/>
        </w:rPr>
        <w:t xml:space="preserve">. </w:t>
      </w:r>
      <w:r>
        <w:rPr>
          <w:rFonts w:ascii="Calibri" w:eastAsia="Calibri" w:hAnsi="Calibri" w:cs="Calibri"/>
          <w:sz w:val="24"/>
          <w:szCs w:val="24"/>
        </w:rPr>
        <w:t>Following completion of their degree, a</w:t>
      </w:r>
      <w:r w:rsidR="00835D13" w:rsidRPr="001E366B">
        <w:rPr>
          <w:rFonts w:ascii="Calibri" w:eastAsia="Calibri" w:hAnsi="Calibri" w:cs="Calibri"/>
          <w:sz w:val="24"/>
          <w:szCs w:val="24"/>
        </w:rPr>
        <w:t xml:space="preserve">ll pharmacy </w:t>
      </w:r>
      <w:r w:rsidR="00835D13">
        <w:rPr>
          <w:rFonts w:ascii="Calibri" w:eastAsia="Calibri" w:hAnsi="Calibri" w:cs="Calibri"/>
          <w:sz w:val="24"/>
          <w:szCs w:val="24"/>
        </w:rPr>
        <w:t>interns</w:t>
      </w:r>
      <w:r w:rsidR="00835D13" w:rsidRPr="001E366B">
        <w:rPr>
          <w:rFonts w:ascii="Calibri" w:eastAsia="Calibri" w:hAnsi="Calibri" w:cs="Calibri"/>
          <w:sz w:val="24"/>
          <w:szCs w:val="24"/>
        </w:rPr>
        <w:t xml:space="preserve"> are </w:t>
      </w:r>
      <w:r w:rsidR="00835D13">
        <w:rPr>
          <w:rFonts w:ascii="Calibri" w:eastAsia="Calibri" w:hAnsi="Calibri" w:cs="Calibri"/>
          <w:sz w:val="24"/>
          <w:szCs w:val="24"/>
        </w:rPr>
        <w:t>required</w:t>
      </w:r>
      <w:r w:rsidR="00835D13" w:rsidRPr="001E366B">
        <w:rPr>
          <w:rFonts w:ascii="Calibri" w:eastAsia="Calibri" w:hAnsi="Calibri" w:cs="Calibri"/>
          <w:sz w:val="24"/>
          <w:szCs w:val="24"/>
        </w:rPr>
        <w:t xml:space="preserve"> to have 1,824 hours of supervised </w:t>
      </w:r>
      <w:proofErr w:type="gramStart"/>
      <w:r w:rsidR="00835D13" w:rsidRPr="001E366B">
        <w:rPr>
          <w:rFonts w:ascii="Calibri" w:eastAsia="Calibri" w:hAnsi="Calibri" w:cs="Calibri"/>
          <w:sz w:val="24"/>
          <w:szCs w:val="24"/>
        </w:rPr>
        <w:t>practice</w:t>
      </w:r>
      <w:r w:rsidR="007474DE">
        <w:rPr>
          <w:rFonts w:ascii="Calibri" w:eastAsia="Calibri" w:hAnsi="Calibri" w:cs="Calibri"/>
          <w:sz w:val="24"/>
          <w:szCs w:val="24"/>
        </w:rPr>
        <w:t>[</w:t>
      </w:r>
      <w:proofErr w:type="gramEnd"/>
      <w:r w:rsidR="007474DE">
        <w:rPr>
          <w:rFonts w:ascii="Calibri" w:eastAsia="Calibri" w:hAnsi="Calibri" w:cs="Calibri"/>
          <w:sz w:val="24"/>
          <w:szCs w:val="24"/>
        </w:rPr>
        <w:t>18]</w:t>
      </w:r>
      <w:r w:rsidR="00835D13" w:rsidRPr="001E366B">
        <w:rPr>
          <w:rFonts w:ascii="Calibri" w:eastAsia="Calibri" w:hAnsi="Calibri" w:cs="Calibri"/>
          <w:sz w:val="24"/>
          <w:szCs w:val="24"/>
        </w:rPr>
        <w:t xml:space="preserve">, with onsite supervision by a registered pharmacist. </w:t>
      </w:r>
      <w:r w:rsidR="00B20946">
        <w:rPr>
          <w:rFonts w:ascii="Calibri" w:eastAsia="Calibri" w:hAnsi="Calibri" w:cs="Calibri"/>
          <w:sz w:val="24"/>
          <w:szCs w:val="24"/>
        </w:rPr>
        <w:t xml:space="preserve">New graduates </w:t>
      </w:r>
      <w:r w:rsidR="008A678B" w:rsidRPr="001E366B">
        <w:rPr>
          <w:rFonts w:ascii="Calibri" w:eastAsia="Calibri" w:hAnsi="Calibri" w:cs="Calibri"/>
          <w:sz w:val="24"/>
          <w:szCs w:val="24"/>
        </w:rPr>
        <w:t xml:space="preserve">prefer to do their </w:t>
      </w:r>
      <w:r w:rsidR="725508B2" w:rsidRPr="001E366B">
        <w:rPr>
          <w:rFonts w:ascii="Calibri" w:eastAsia="Calibri" w:hAnsi="Calibri" w:cs="Calibri"/>
          <w:sz w:val="24"/>
          <w:szCs w:val="24"/>
        </w:rPr>
        <w:t>intern</w:t>
      </w:r>
      <w:r w:rsidR="00835D13">
        <w:rPr>
          <w:rFonts w:ascii="Calibri" w:eastAsia="Calibri" w:hAnsi="Calibri" w:cs="Calibri"/>
          <w:sz w:val="24"/>
          <w:szCs w:val="24"/>
        </w:rPr>
        <w:t>ship</w:t>
      </w:r>
      <w:r w:rsidR="725508B2" w:rsidRPr="001E366B">
        <w:rPr>
          <w:rFonts w:ascii="Calibri" w:eastAsia="Calibri" w:hAnsi="Calibri" w:cs="Calibri"/>
          <w:sz w:val="24"/>
          <w:szCs w:val="24"/>
        </w:rPr>
        <w:t xml:space="preserve"> </w:t>
      </w:r>
      <w:r w:rsidR="008A678B" w:rsidRPr="001E366B">
        <w:rPr>
          <w:rFonts w:ascii="Calibri" w:eastAsia="Calibri" w:hAnsi="Calibri" w:cs="Calibri"/>
          <w:sz w:val="24"/>
          <w:szCs w:val="24"/>
        </w:rPr>
        <w:t xml:space="preserve">close to </w:t>
      </w:r>
      <w:r w:rsidR="005C36FA" w:rsidRPr="001E366B">
        <w:rPr>
          <w:rFonts w:ascii="Calibri" w:eastAsia="Calibri" w:hAnsi="Calibri" w:cs="Calibri"/>
          <w:sz w:val="24"/>
          <w:szCs w:val="24"/>
        </w:rPr>
        <w:t xml:space="preserve">the university </w:t>
      </w:r>
      <w:r w:rsidR="009A147C" w:rsidRPr="001E366B">
        <w:rPr>
          <w:rFonts w:ascii="Calibri" w:eastAsia="Calibri" w:hAnsi="Calibri" w:cs="Calibri"/>
          <w:sz w:val="24"/>
          <w:szCs w:val="24"/>
        </w:rPr>
        <w:t>from which they graduated</w:t>
      </w:r>
      <w:r w:rsidR="00B20946">
        <w:rPr>
          <w:rFonts w:ascii="Calibri" w:eastAsia="Calibri" w:hAnsi="Calibri" w:cs="Calibri"/>
          <w:sz w:val="24"/>
          <w:szCs w:val="24"/>
        </w:rPr>
        <w:t>,</w:t>
      </w:r>
      <w:r w:rsidR="000502E6" w:rsidRPr="001E366B">
        <w:rPr>
          <w:rFonts w:ascii="Calibri" w:eastAsia="Calibri" w:hAnsi="Calibri" w:cs="Calibri"/>
          <w:sz w:val="24"/>
          <w:szCs w:val="24"/>
          <w:vertAlign w:val="superscript"/>
        </w:rPr>
        <w:t>6</w:t>
      </w:r>
      <w:r w:rsidR="009A147C" w:rsidRPr="001E366B">
        <w:rPr>
          <w:rFonts w:ascii="Calibri" w:eastAsia="Calibri" w:hAnsi="Calibri" w:cs="Calibri"/>
          <w:sz w:val="24"/>
          <w:szCs w:val="24"/>
        </w:rPr>
        <w:t xml:space="preserve"> </w:t>
      </w:r>
      <w:r w:rsidR="00B20946">
        <w:rPr>
          <w:rFonts w:ascii="Calibri" w:eastAsia="Calibri" w:hAnsi="Calibri" w:cs="Calibri"/>
          <w:sz w:val="24"/>
          <w:szCs w:val="24"/>
        </w:rPr>
        <w:t>m</w:t>
      </w:r>
      <w:r w:rsidR="00B20946" w:rsidRPr="001E366B">
        <w:rPr>
          <w:rFonts w:ascii="Calibri" w:eastAsia="Calibri" w:hAnsi="Calibri" w:cs="Calibri"/>
          <w:sz w:val="24"/>
          <w:szCs w:val="24"/>
        </w:rPr>
        <w:t>ost</w:t>
      </w:r>
      <w:r w:rsidR="009A147C" w:rsidRPr="001E366B">
        <w:rPr>
          <w:rFonts w:ascii="Calibri" w:eastAsia="Calibri" w:hAnsi="Calibri" w:cs="Calibri"/>
          <w:sz w:val="24"/>
          <w:szCs w:val="24"/>
        </w:rPr>
        <w:t>, therefore, remain</w:t>
      </w:r>
      <w:r w:rsidR="00B20946">
        <w:rPr>
          <w:rFonts w:ascii="Calibri" w:eastAsia="Calibri" w:hAnsi="Calibri" w:cs="Calibri"/>
          <w:sz w:val="24"/>
          <w:szCs w:val="24"/>
        </w:rPr>
        <w:t>ing</w:t>
      </w:r>
      <w:r w:rsidR="005C36FA" w:rsidRPr="001E366B">
        <w:rPr>
          <w:rFonts w:ascii="Calibri" w:eastAsia="Calibri" w:hAnsi="Calibri" w:cs="Calibri"/>
          <w:sz w:val="24"/>
          <w:szCs w:val="24"/>
        </w:rPr>
        <w:t xml:space="preserve"> in the major cities</w:t>
      </w:r>
      <w:r w:rsidR="00835D13">
        <w:rPr>
          <w:rFonts w:ascii="Calibri" w:eastAsia="Calibri" w:hAnsi="Calibri" w:cs="Calibri"/>
          <w:sz w:val="24"/>
          <w:szCs w:val="24"/>
        </w:rPr>
        <w:t xml:space="preserve">. </w:t>
      </w:r>
      <w:r w:rsidR="005C36FA" w:rsidRPr="001E366B">
        <w:rPr>
          <w:rFonts w:ascii="Calibri" w:eastAsia="Calibri" w:hAnsi="Calibri" w:cs="Calibri"/>
          <w:sz w:val="24"/>
          <w:szCs w:val="24"/>
        </w:rPr>
        <w:t xml:space="preserve">However, in </w:t>
      </w:r>
      <w:r w:rsidR="007D2AE8" w:rsidRPr="001E366B">
        <w:rPr>
          <w:rFonts w:ascii="Calibri" w:eastAsia="Calibri" w:hAnsi="Calibri" w:cs="Calibri"/>
          <w:sz w:val="24"/>
          <w:szCs w:val="24"/>
        </w:rPr>
        <w:t xml:space="preserve">the </w:t>
      </w:r>
      <w:r w:rsidR="005C36FA" w:rsidRPr="001E366B">
        <w:rPr>
          <w:rFonts w:ascii="Calibri" w:eastAsia="Calibri" w:hAnsi="Calibri" w:cs="Calibri"/>
          <w:sz w:val="24"/>
          <w:szCs w:val="24"/>
        </w:rPr>
        <w:t xml:space="preserve">interest of building future rural health </w:t>
      </w:r>
      <w:r w:rsidR="00553251">
        <w:rPr>
          <w:rFonts w:ascii="Calibri" w:eastAsia="Calibri" w:hAnsi="Calibri" w:cs="Calibri"/>
          <w:sz w:val="24"/>
          <w:szCs w:val="24"/>
        </w:rPr>
        <w:t>workforce</w:t>
      </w:r>
      <w:r w:rsidR="21327E9E" w:rsidRPr="001E366B">
        <w:rPr>
          <w:rFonts w:ascii="Calibri" w:eastAsia="Calibri" w:hAnsi="Calibri" w:cs="Calibri"/>
          <w:sz w:val="24"/>
          <w:szCs w:val="24"/>
        </w:rPr>
        <w:t>,</w:t>
      </w:r>
      <w:r w:rsidR="005C36FA" w:rsidRPr="001E366B">
        <w:rPr>
          <w:rFonts w:ascii="Calibri" w:eastAsia="Calibri" w:hAnsi="Calibri" w:cs="Calibri"/>
          <w:sz w:val="24"/>
          <w:szCs w:val="24"/>
        </w:rPr>
        <w:t xml:space="preserve"> it is desirable for part of the education and training of pharmacists to </w:t>
      </w:r>
      <w:r w:rsidR="005E7906" w:rsidRPr="001E366B">
        <w:rPr>
          <w:rFonts w:ascii="Calibri" w:eastAsia="Calibri" w:hAnsi="Calibri" w:cs="Calibri"/>
          <w:sz w:val="24"/>
          <w:szCs w:val="24"/>
        </w:rPr>
        <w:t xml:space="preserve">take place </w:t>
      </w:r>
      <w:r w:rsidR="005C36FA" w:rsidRPr="001E366B">
        <w:rPr>
          <w:rFonts w:ascii="Calibri" w:eastAsia="Calibri" w:hAnsi="Calibri" w:cs="Calibri"/>
          <w:sz w:val="24"/>
          <w:szCs w:val="24"/>
        </w:rPr>
        <w:t>in non-metropolitan locations</w:t>
      </w:r>
      <w:r w:rsidR="005E7906" w:rsidRPr="001E366B">
        <w:rPr>
          <w:rFonts w:ascii="Calibri" w:eastAsia="Calibri" w:hAnsi="Calibri" w:cs="Calibri"/>
          <w:sz w:val="24"/>
          <w:szCs w:val="24"/>
        </w:rPr>
        <w:t>, in the hope that at least some stay and pursue a rural career</w:t>
      </w:r>
      <w:r w:rsidR="005C36FA" w:rsidRPr="001E366B">
        <w:rPr>
          <w:rFonts w:ascii="Calibri" w:eastAsia="Calibri" w:hAnsi="Calibri" w:cs="Calibri"/>
          <w:sz w:val="24"/>
          <w:szCs w:val="24"/>
        </w:rPr>
        <w:t xml:space="preserve">. </w:t>
      </w:r>
    </w:p>
    <w:p w14:paraId="6A1790CD" w14:textId="2EECF06B" w:rsidR="00B819CC" w:rsidRPr="001E366B" w:rsidRDefault="00B819CC" w:rsidP="00B819CC">
      <w:pPr>
        <w:spacing w:line="360" w:lineRule="auto"/>
        <w:rPr>
          <w:sz w:val="24"/>
          <w:szCs w:val="24"/>
        </w:rPr>
      </w:pPr>
      <w:r>
        <w:rPr>
          <w:sz w:val="24"/>
          <w:szCs w:val="24"/>
        </w:rPr>
        <w:t>U</w:t>
      </w:r>
      <w:r w:rsidR="006E7B27" w:rsidRPr="001E366B">
        <w:rPr>
          <w:sz w:val="24"/>
          <w:szCs w:val="24"/>
        </w:rPr>
        <w:t xml:space="preserve">nder </w:t>
      </w:r>
      <w:r w:rsidR="00BF7EB0" w:rsidRPr="001E366B">
        <w:rPr>
          <w:sz w:val="24"/>
          <w:szCs w:val="24"/>
        </w:rPr>
        <w:t>successive</w:t>
      </w:r>
      <w:r w:rsidR="006E7B27" w:rsidRPr="001E366B">
        <w:rPr>
          <w:sz w:val="24"/>
          <w:szCs w:val="24"/>
        </w:rPr>
        <w:t xml:space="preserve"> Community Pharmacy Agreement</w:t>
      </w:r>
      <w:r w:rsidR="00BF7EB0" w:rsidRPr="001E366B">
        <w:rPr>
          <w:sz w:val="24"/>
          <w:szCs w:val="24"/>
        </w:rPr>
        <w:t>s</w:t>
      </w:r>
      <w:r w:rsidR="006E7B27" w:rsidRPr="001E366B">
        <w:rPr>
          <w:sz w:val="24"/>
          <w:szCs w:val="24"/>
        </w:rPr>
        <w:t xml:space="preserve">, the Australian Government </w:t>
      </w:r>
      <w:r w:rsidR="00D230F6" w:rsidRPr="001E366B">
        <w:rPr>
          <w:sz w:val="24"/>
          <w:szCs w:val="24"/>
        </w:rPr>
        <w:t xml:space="preserve">has </w:t>
      </w:r>
      <w:r w:rsidR="006E7B27" w:rsidRPr="001E366B">
        <w:rPr>
          <w:sz w:val="24"/>
          <w:szCs w:val="24"/>
        </w:rPr>
        <w:t>fund</w:t>
      </w:r>
      <w:r>
        <w:rPr>
          <w:sz w:val="24"/>
          <w:szCs w:val="24"/>
        </w:rPr>
        <w:t>ed</w:t>
      </w:r>
      <w:r w:rsidR="006E7B27" w:rsidRPr="001E366B">
        <w:rPr>
          <w:sz w:val="24"/>
          <w:szCs w:val="24"/>
        </w:rPr>
        <w:t xml:space="preserve"> </w:t>
      </w:r>
      <w:r w:rsidR="00D230F6" w:rsidRPr="001E366B">
        <w:rPr>
          <w:sz w:val="24"/>
          <w:szCs w:val="24"/>
        </w:rPr>
        <w:t>Rural Pharmacy Workforce Program</w:t>
      </w:r>
      <w:r w:rsidR="005358A3" w:rsidRPr="001E366B">
        <w:rPr>
          <w:sz w:val="24"/>
          <w:szCs w:val="24"/>
        </w:rPr>
        <w:t>s</w:t>
      </w:r>
      <w:r w:rsidR="00D230F6" w:rsidRPr="001E366B">
        <w:rPr>
          <w:sz w:val="24"/>
          <w:szCs w:val="24"/>
        </w:rPr>
        <w:t xml:space="preserve">, including the </w:t>
      </w:r>
      <w:r w:rsidR="006E7B27" w:rsidRPr="001E366B">
        <w:rPr>
          <w:sz w:val="24"/>
          <w:szCs w:val="24"/>
        </w:rPr>
        <w:t xml:space="preserve">Rural Pharmacy Liaison Officer (RPLO) </w:t>
      </w:r>
      <w:proofErr w:type="gramStart"/>
      <w:r w:rsidR="006E7B27" w:rsidRPr="001E366B">
        <w:rPr>
          <w:sz w:val="24"/>
          <w:szCs w:val="24"/>
        </w:rPr>
        <w:t>Program</w:t>
      </w:r>
      <w:r w:rsidR="007474DE">
        <w:rPr>
          <w:sz w:val="24"/>
          <w:szCs w:val="24"/>
        </w:rPr>
        <w:t>[</w:t>
      </w:r>
      <w:proofErr w:type="gramEnd"/>
      <w:r w:rsidR="007474DE">
        <w:rPr>
          <w:sz w:val="24"/>
          <w:szCs w:val="24"/>
        </w:rPr>
        <w:t>19]</w:t>
      </w:r>
      <w:r w:rsidR="006E7B27" w:rsidRPr="001E366B">
        <w:rPr>
          <w:sz w:val="24"/>
          <w:szCs w:val="24"/>
        </w:rPr>
        <w:t>. Th</w:t>
      </w:r>
      <w:r w:rsidR="004A2E14" w:rsidRPr="001E366B">
        <w:rPr>
          <w:sz w:val="24"/>
          <w:szCs w:val="24"/>
        </w:rPr>
        <w:t xml:space="preserve">e RPLOs are pharmacists </w:t>
      </w:r>
      <w:r w:rsidR="006E7B27" w:rsidRPr="001E366B">
        <w:rPr>
          <w:sz w:val="24"/>
          <w:szCs w:val="24"/>
        </w:rPr>
        <w:t>employed in a clinical-academic capacity to support ph</w:t>
      </w:r>
      <w:r w:rsidR="00B3757B" w:rsidRPr="001E366B">
        <w:rPr>
          <w:sz w:val="24"/>
          <w:szCs w:val="24"/>
        </w:rPr>
        <w:t xml:space="preserve">armacy students </w:t>
      </w:r>
      <w:r>
        <w:rPr>
          <w:sz w:val="24"/>
          <w:szCs w:val="24"/>
        </w:rPr>
        <w:t xml:space="preserve">on </w:t>
      </w:r>
      <w:r w:rsidR="006E7B27" w:rsidRPr="001E366B">
        <w:rPr>
          <w:sz w:val="24"/>
          <w:szCs w:val="24"/>
        </w:rPr>
        <w:t xml:space="preserve">placements outside </w:t>
      </w:r>
      <w:r>
        <w:rPr>
          <w:sz w:val="24"/>
          <w:szCs w:val="24"/>
        </w:rPr>
        <w:t>major cit</w:t>
      </w:r>
      <w:r w:rsidR="00553251">
        <w:rPr>
          <w:sz w:val="24"/>
          <w:szCs w:val="24"/>
        </w:rPr>
        <w:t xml:space="preserve">ies. </w:t>
      </w:r>
      <w:r>
        <w:rPr>
          <w:sz w:val="24"/>
          <w:szCs w:val="24"/>
        </w:rPr>
        <w:t>E</w:t>
      </w:r>
      <w:r w:rsidR="006E7B27" w:rsidRPr="001E366B">
        <w:rPr>
          <w:sz w:val="24"/>
          <w:szCs w:val="24"/>
        </w:rPr>
        <w:t>mbedded in University Departments of Rural Health</w:t>
      </w:r>
      <w:r w:rsidR="004A2E14" w:rsidRPr="001E366B">
        <w:rPr>
          <w:sz w:val="24"/>
          <w:szCs w:val="24"/>
        </w:rPr>
        <w:t xml:space="preserve"> (UDRHs</w:t>
      </w:r>
      <w:r w:rsidR="00411536">
        <w:rPr>
          <w:sz w:val="24"/>
          <w:szCs w:val="24"/>
        </w:rPr>
        <w:t>),</w:t>
      </w:r>
      <w:r w:rsidR="006E7B27" w:rsidRPr="001E366B">
        <w:rPr>
          <w:sz w:val="24"/>
          <w:szCs w:val="24"/>
        </w:rPr>
        <w:t xml:space="preserve"> funded under the Rural Health Multidisci</w:t>
      </w:r>
      <w:r w:rsidR="000502E6" w:rsidRPr="001E366B">
        <w:rPr>
          <w:sz w:val="24"/>
          <w:szCs w:val="24"/>
        </w:rPr>
        <w:t xml:space="preserve">plinary Training (RHMT) </w:t>
      </w:r>
      <w:proofErr w:type="gramStart"/>
      <w:r w:rsidR="000502E6" w:rsidRPr="001E366B">
        <w:rPr>
          <w:sz w:val="24"/>
          <w:szCs w:val="24"/>
        </w:rPr>
        <w:t>Program</w:t>
      </w:r>
      <w:r w:rsidR="007474DE">
        <w:rPr>
          <w:sz w:val="24"/>
          <w:szCs w:val="24"/>
        </w:rPr>
        <w:t>[</w:t>
      </w:r>
      <w:proofErr w:type="gramEnd"/>
      <w:r w:rsidR="007474DE">
        <w:rPr>
          <w:sz w:val="24"/>
          <w:szCs w:val="24"/>
        </w:rPr>
        <w:t>20]</w:t>
      </w:r>
      <w:r>
        <w:rPr>
          <w:sz w:val="24"/>
          <w:szCs w:val="24"/>
        </w:rPr>
        <w:t>,</w:t>
      </w:r>
      <w:r w:rsidR="006E7B27" w:rsidRPr="001E366B">
        <w:rPr>
          <w:sz w:val="24"/>
          <w:szCs w:val="24"/>
        </w:rPr>
        <w:t xml:space="preserve"> RPLOs </w:t>
      </w:r>
      <w:r>
        <w:rPr>
          <w:sz w:val="24"/>
          <w:szCs w:val="24"/>
        </w:rPr>
        <w:t xml:space="preserve">also </w:t>
      </w:r>
      <w:r w:rsidR="008F52D9" w:rsidRPr="001E366B">
        <w:rPr>
          <w:sz w:val="24"/>
          <w:szCs w:val="24"/>
        </w:rPr>
        <w:t>support</w:t>
      </w:r>
      <w:r w:rsidR="00051422" w:rsidRPr="001E366B">
        <w:rPr>
          <w:sz w:val="24"/>
          <w:szCs w:val="24"/>
        </w:rPr>
        <w:t xml:space="preserve"> local rural pharmacists</w:t>
      </w:r>
      <w:r>
        <w:rPr>
          <w:sz w:val="24"/>
          <w:szCs w:val="24"/>
        </w:rPr>
        <w:t xml:space="preserve"> </w:t>
      </w:r>
      <w:r w:rsidR="00D84307">
        <w:rPr>
          <w:sz w:val="24"/>
          <w:szCs w:val="24"/>
        </w:rPr>
        <w:t xml:space="preserve">to </w:t>
      </w:r>
      <w:r>
        <w:rPr>
          <w:sz w:val="24"/>
          <w:szCs w:val="24"/>
        </w:rPr>
        <w:t>access</w:t>
      </w:r>
      <w:r w:rsidR="00EE2497" w:rsidRPr="001E366B">
        <w:rPr>
          <w:sz w:val="24"/>
          <w:szCs w:val="24"/>
        </w:rPr>
        <w:t xml:space="preserve"> </w:t>
      </w:r>
      <w:r w:rsidR="008F52D9" w:rsidRPr="001E366B">
        <w:rPr>
          <w:sz w:val="24"/>
          <w:szCs w:val="24"/>
        </w:rPr>
        <w:t>CPD</w:t>
      </w:r>
      <w:r w:rsidR="006E7B27" w:rsidRPr="001E366B">
        <w:rPr>
          <w:sz w:val="24"/>
          <w:szCs w:val="24"/>
        </w:rPr>
        <w:t>.</w:t>
      </w:r>
      <w:r w:rsidR="008F52D9" w:rsidRPr="001E366B">
        <w:rPr>
          <w:sz w:val="24"/>
          <w:szCs w:val="24"/>
        </w:rPr>
        <w:t xml:space="preserve"> The University of Newcastle </w:t>
      </w:r>
      <w:r w:rsidR="00F371A6">
        <w:rPr>
          <w:sz w:val="24"/>
          <w:szCs w:val="24"/>
        </w:rPr>
        <w:t xml:space="preserve">(UON) </w:t>
      </w:r>
      <w:r w:rsidR="008F52D9" w:rsidRPr="001E366B">
        <w:rPr>
          <w:sz w:val="24"/>
          <w:szCs w:val="24"/>
        </w:rPr>
        <w:t>employs two part-time RPLOs, one in Tamworth</w:t>
      </w:r>
      <w:r w:rsidR="00051422" w:rsidRPr="001E366B">
        <w:rPr>
          <w:sz w:val="24"/>
          <w:szCs w:val="24"/>
        </w:rPr>
        <w:t>,</w:t>
      </w:r>
      <w:r w:rsidR="008F52D9" w:rsidRPr="001E366B">
        <w:rPr>
          <w:sz w:val="24"/>
          <w:szCs w:val="24"/>
        </w:rPr>
        <w:t xml:space="preserve"> in the N</w:t>
      </w:r>
      <w:r w:rsidR="00051422" w:rsidRPr="001E366B">
        <w:rPr>
          <w:sz w:val="24"/>
          <w:szCs w:val="24"/>
        </w:rPr>
        <w:t>ew England and Northwest region</w:t>
      </w:r>
      <w:r w:rsidR="005358A3" w:rsidRPr="001E366B">
        <w:rPr>
          <w:sz w:val="24"/>
          <w:szCs w:val="24"/>
        </w:rPr>
        <w:t xml:space="preserve"> of New South Wales</w:t>
      </w:r>
      <w:r w:rsidR="00051422" w:rsidRPr="001E366B">
        <w:rPr>
          <w:sz w:val="24"/>
          <w:szCs w:val="24"/>
        </w:rPr>
        <w:t>,</w:t>
      </w:r>
      <w:r w:rsidR="008F52D9" w:rsidRPr="001E366B">
        <w:rPr>
          <w:sz w:val="24"/>
          <w:szCs w:val="24"/>
        </w:rPr>
        <w:t xml:space="preserve"> and </w:t>
      </w:r>
      <w:r w:rsidR="00553251">
        <w:rPr>
          <w:sz w:val="24"/>
          <w:szCs w:val="24"/>
        </w:rPr>
        <w:t>an</w:t>
      </w:r>
      <w:r w:rsidR="00051422" w:rsidRPr="001E366B">
        <w:rPr>
          <w:sz w:val="24"/>
          <w:szCs w:val="24"/>
        </w:rPr>
        <w:t>other</w:t>
      </w:r>
      <w:r w:rsidR="008F52D9" w:rsidRPr="001E366B">
        <w:rPr>
          <w:sz w:val="24"/>
          <w:szCs w:val="24"/>
        </w:rPr>
        <w:t xml:space="preserve"> in Taree, in the </w:t>
      </w:r>
      <w:r w:rsidR="009A5011" w:rsidRPr="001E366B">
        <w:rPr>
          <w:sz w:val="24"/>
          <w:szCs w:val="24"/>
        </w:rPr>
        <w:t>Lower Mid-North Coast</w:t>
      </w:r>
      <w:r w:rsidR="006A2006" w:rsidRPr="001E366B">
        <w:rPr>
          <w:sz w:val="24"/>
          <w:szCs w:val="24"/>
        </w:rPr>
        <w:t xml:space="preserve"> </w:t>
      </w:r>
      <w:r w:rsidR="008F52D9" w:rsidRPr="001E366B">
        <w:rPr>
          <w:sz w:val="24"/>
          <w:szCs w:val="24"/>
        </w:rPr>
        <w:t>region.</w:t>
      </w:r>
      <w:r>
        <w:rPr>
          <w:sz w:val="24"/>
          <w:szCs w:val="24"/>
        </w:rPr>
        <w:t xml:space="preserve"> T</w:t>
      </w:r>
      <w:r w:rsidRPr="001E366B">
        <w:rPr>
          <w:sz w:val="24"/>
          <w:szCs w:val="24"/>
        </w:rPr>
        <w:t xml:space="preserve">o better inform support for </w:t>
      </w:r>
      <w:r>
        <w:rPr>
          <w:sz w:val="24"/>
          <w:szCs w:val="24"/>
        </w:rPr>
        <w:t xml:space="preserve">rural </w:t>
      </w:r>
      <w:r w:rsidRPr="001E366B">
        <w:rPr>
          <w:sz w:val="24"/>
          <w:szCs w:val="24"/>
        </w:rPr>
        <w:t xml:space="preserve">students and pharmacists, there was a </w:t>
      </w:r>
      <w:r w:rsidR="00553251">
        <w:rPr>
          <w:sz w:val="24"/>
          <w:szCs w:val="24"/>
        </w:rPr>
        <w:t xml:space="preserve">perceived </w:t>
      </w:r>
      <w:r w:rsidRPr="001E366B">
        <w:rPr>
          <w:sz w:val="24"/>
          <w:szCs w:val="24"/>
        </w:rPr>
        <w:t xml:space="preserve">need to </w:t>
      </w:r>
      <w:r w:rsidR="00F371A6">
        <w:rPr>
          <w:sz w:val="24"/>
          <w:szCs w:val="24"/>
        </w:rPr>
        <w:t>survey</w:t>
      </w:r>
      <w:r w:rsidRPr="001E366B">
        <w:rPr>
          <w:sz w:val="24"/>
          <w:szCs w:val="24"/>
        </w:rPr>
        <w:t xml:space="preserve"> the rural pharmac</w:t>
      </w:r>
      <w:r w:rsidR="00553251">
        <w:rPr>
          <w:sz w:val="24"/>
          <w:szCs w:val="24"/>
        </w:rPr>
        <w:t>ists</w:t>
      </w:r>
      <w:r w:rsidRPr="001E366B">
        <w:rPr>
          <w:sz w:val="24"/>
          <w:szCs w:val="24"/>
        </w:rPr>
        <w:t xml:space="preserve"> </w:t>
      </w:r>
      <w:r>
        <w:rPr>
          <w:sz w:val="24"/>
          <w:szCs w:val="24"/>
        </w:rPr>
        <w:t>in those</w:t>
      </w:r>
      <w:r w:rsidRPr="001E366B">
        <w:rPr>
          <w:sz w:val="24"/>
          <w:szCs w:val="24"/>
        </w:rPr>
        <w:t xml:space="preserve"> regions. </w:t>
      </w:r>
    </w:p>
    <w:p w14:paraId="6FCB5515" w14:textId="77777777" w:rsidR="00103475" w:rsidRPr="001E366B" w:rsidRDefault="00103475" w:rsidP="00881ACA">
      <w:pPr>
        <w:spacing w:line="360" w:lineRule="auto"/>
        <w:rPr>
          <w:rFonts w:cstheme="minorHAnsi"/>
          <w:sz w:val="24"/>
          <w:szCs w:val="24"/>
        </w:rPr>
      </w:pPr>
    </w:p>
    <w:p w14:paraId="6FCB5516" w14:textId="77777777" w:rsidR="00103475" w:rsidRPr="003667E9" w:rsidRDefault="00103475" w:rsidP="00881ACA">
      <w:pPr>
        <w:spacing w:line="360" w:lineRule="auto"/>
        <w:rPr>
          <w:rFonts w:cstheme="minorHAnsi"/>
          <w:b/>
          <w:sz w:val="28"/>
          <w:szCs w:val="28"/>
        </w:rPr>
      </w:pPr>
      <w:r w:rsidRPr="003667E9">
        <w:rPr>
          <w:rFonts w:cstheme="minorHAnsi"/>
          <w:b/>
          <w:sz w:val="28"/>
          <w:szCs w:val="28"/>
        </w:rPr>
        <w:t>Methods</w:t>
      </w:r>
    </w:p>
    <w:p w14:paraId="6FCB5518" w14:textId="4E19CF71" w:rsidR="006E7B27" w:rsidRPr="001E366B" w:rsidRDefault="00F371A6" w:rsidP="09084502">
      <w:pPr>
        <w:spacing w:line="360" w:lineRule="auto"/>
        <w:rPr>
          <w:sz w:val="24"/>
          <w:szCs w:val="24"/>
        </w:rPr>
      </w:pPr>
      <w:r>
        <w:rPr>
          <w:sz w:val="24"/>
          <w:szCs w:val="24"/>
        </w:rPr>
        <w:t>C</w:t>
      </w:r>
      <w:r w:rsidR="00103475" w:rsidRPr="001E366B">
        <w:rPr>
          <w:sz w:val="24"/>
          <w:szCs w:val="24"/>
        </w:rPr>
        <w:t xml:space="preserve">learance </w:t>
      </w:r>
      <w:r>
        <w:rPr>
          <w:sz w:val="24"/>
          <w:szCs w:val="24"/>
        </w:rPr>
        <w:t xml:space="preserve">was obtained </w:t>
      </w:r>
      <w:r w:rsidR="00103475" w:rsidRPr="001E366B">
        <w:rPr>
          <w:sz w:val="24"/>
          <w:szCs w:val="24"/>
        </w:rPr>
        <w:t xml:space="preserve">from the </w:t>
      </w:r>
      <w:r>
        <w:rPr>
          <w:sz w:val="24"/>
          <w:szCs w:val="24"/>
        </w:rPr>
        <w:t>UON</w:t>
      </w:r>
      <w:r w:rsidR="00103475" w:rsidRPr="001E366B">
        <w:rPr>
          <w:sz w:val="24"/>
          <w:szCs w:val="24"/>
        </w:rPr>
        <w:t xml:space="preserve"> Human Research Ethics Committee (</w:t>
      </w:r>
      <w:r w:rsidR="00C51044">
        <w:rPr>
          <w:sz w:val="24"/>
          <w:szCs w:val="24"/>
        </w:rPr>
        <w:t xml:space="preserve">UONHREC </w:t>
      </w:r>
      <w:r w:rsidR="00103475" w:rsidRPr="001E366B">
        <w:rPr>
          <w:sz w:val="24"/>
          <w:szCs w:val="24"/>
        </w:rPr>
        <w:t>QA189, 5 July 2019</w:t>
      </w:r>
      <w:r w:rsidR="00EF1BFE">
        <w:rPr>
          <w:sz w:val="24"/>
          <w:szCs w:val="24"/>
        </w:rPr>
        <w:t>)</w:t>
      </w:r>
      <w:r w:rsidR="00103475" w:rsidRPr="001E366B">
        <w:rPr>
          <w:sz w:val="24"/>
          <w:szCs w:val="24"/>
        </w:rPr>
        <w:t xml:space="preserve">. The questionnaire </w:t>
      </w:r>
      <w:r w:rsidR="00185E95" w:rsidRPr="001E366B">
        <w:rPr>
          <w:sz w:val="24"/>
          <w:szCs w:val="24"/>
        </w:rPr>
        <w:t xml:space="preserve">included </w:t>
      </w:r>
      <w:r w:rsidR="00D26F96" w:rsidRPr="001E366B">
        <w:rPr>
          <w:sz w:val="24"/>
          <w:szCs w:val="24"/>
        </w:rPr>
        <w:t xml:space="preserve">demographic </w:t>
      </w:r>
      <w:r w:rsidR="00B3757B" w:rsidRPr="001E366B">
        <w:rPr>
          <w:sz w:val="24"/>
          <w:szCs w:val="24"/>
        </w:rPr>
        <w:t>questions</w:t>
      </w:r>
      <w:r w:rsidR="00D26F96" w:rsidRPr="001E366B">
        <w:rPr>
          <w:sz w:val="24"/>
          <w:szCs w:val="24"/>
        </w:rPr>
        <w:t xml:space="preserve">, </w:t>
      </w:r>
      <w:r w:rsidR="00387CB6">
        <w:rPr>
          <w:sz w:val="24"/>
          <w:szCs w:val="24"/>
        </w:rPr>
        <w:t xml:space="preserve">plus </w:t>
      </w:r>
      <w:r w:rsidR="00D26F96" w:rsidRPr="001E366B">
        <w:rPr>
          <w:sz w:val="24"/>
          <w:szCs w:val="24"/>
        </w:rPr>
        <w:t>questions about employment</w:t>
      </w:r>
      <w:r>
        <w:rPr>
          <w:sz w:val="24"/>
          <w:szCs w:val="24"/>
        </w:rPr>
        <w:t xml:space="preserve"> and </w:t>
      </w:r>
      <w:r w:rsidR="002156B2" w:rsidRPr="001E366B">
        <w:rPr>
          <w:sz w:val="24"/>
          <w:szCs w:val="24"/>
        </w:rPr>
        <w:t xml:space="preserve">scope of practice and </w:t>
      </w:r>
      <w:r>
        <w:rPr>
          <w:sz w:val="24"/>
          <w:szCs w:val="24"/>
        </w:rPr>
        <w:t xml:space="preserve">about </w:t>
      </w:r>
      <w:r w:rsidR="002156B2" w:rsidRPr="001E366B">
        <w:rPr>
          <w:sz w:val="24"/>
          <w:szCs w:val="24"/>
        </w:rPr>
        <w:t>willingness to act as preceptors to students and interns</w:t>
      </w:r>
      <w:r w:rsidR="00D26F96" w:rsidRPr="001E366B">
        <w:rPr>
          <w:sz w:val="24"/>
          <w:szCs w:val="24"/>
        </w:rPr>
        <w:t>.</w:t>
      </w:r>
      <w:r w:rsidR="2B4F4F49" w:rsidRPr="001E366B">
        <w:rPr>
          <w:sz w:val="24"/>
          <w:szCs w:val="24"/>
        </w:rPr>
        <w:t xml:space="preserve"> </w:t>
      </w:r>
      <w:r>
        <w:rPr>
          <w:sz w:val="24"/>
          <w:szCs w:val="24"/>
        </w:rPr>
        <w:t>Respondents</w:t>
      </w:r>
      <w:r w:rsidR="00D26F96" w:rsidRPr="001E366B">
        <w:rPr>
          <w:sz w:val="24"/>
          <w:szCs w:val="24"/>
        </w:rPr>
        <w:t xml:space="preserve"> </w:t>
      </w:r>
      <w:r w:rsidR="00963326" w:rsidRPr="001E366B">
        <w:rPr>
          <w:sz w:val="24"/>
          <w:szCs w:val="24"/>
        </w:rPr>
        <w:t>indicate</w:t>
      </w:r>
      <w:r>
        <w:rPr>
          <w:sz w:val="24"/>
          <w:szCs w:val="24"/>
        </w:rPr>
        <w:t>d</w:t>
      </w:r>
      <w:r w:rsidR="2B4F4F49" w:rsidRPr="001E366B">
        <w:rPr>
          <w:sz w:val="24"/>
          <w:szCs w:val="24"/>
        </w:rPr>
        <w:t xml:space="preserve"> professional services offer</w:t>
      </w:r>
      <w:r w:rsidR="00D26F96" w:rsidRPr="001E366B">
        <w:rPr>
          <w:sz w:val="24"/>
          <w:szCs w:val="24"/>
        </w:rPr>
        <w:t xml:space="preserve">ed from a list </w:t>
      </w:r>
      <w:r>
        <w:rPr>
          <w:sz w:val="24"/>
          <w:szCs w:val="24"/>
        </w:rPr>
        <w:t>of</w:t>
      </w:r>
      <w:r w:rsidRPr="001E366B">
        <w:rPr>
          <w:sz w:val="24"/>
          <w:szCs w:val="24"/>
        </w:rPr>
        <w:t xml:space="preserve"> 21 options </w:t>
      </w:r>
      <w:r w:rsidR="00963326" w:rsidRPr="001E366B">
        <w:rPr>
          <w:sz w:val="24"/>
          <w:szCs w:val="24"/>
        </w:rPr>
        <w:t xml:space="preserve">that included blood pressure monitoring, opioid substitution, </w:t>
      </w:r>
      <w:r w:rsidR="00E655B4" w:rsidRPr="001E366B">
        <w:rPr>
          <w:sz w:val="24"/>
          <w:szCs w:val="24"/>
        </w:rPr>
        <w:t xml:space="preserve">healthy </w:t>
      </w:r>
      <w:r w:rsidR="00963326" w:rsidRPr="001E366B">
        <w:rPr>
          <w:sz w:val="24"/>
          <w:szCs w:val="24"/>
        </w:rPr>
        <w:t xml:space="preserve">weight </w:t>
      </w:r>
      <w:r w:rsidR="3A6209DA" w:rsidRPr="001E366B">
        <w:rPr>
          <w:sz w:val="24"/>
          <w:szCs w:val="24"/>
        </w:rPr>
        <w:lastRenderedPageBreak/>
        <w:t>management</w:t>
      </w:r>
      <w:r w:rsidR="00E655B4" w:rsidRPr="001E366B">
        <w:rPr>
          <w:sz w:val="24"/>
          <w:szCs w:val="24"/>
        </w:rPr>
        <w:t xml:space="preserve"> </w:t>
      </w:r>
      <w:r w:rsidR="00963326" w:rsidRPr="001E366B">
        <w:rPr>
          <w:sz w:val="24"/>
          <w:szCs w:val="24"/>
        </w:rPr>
        <w:t>programs and vaccination</w:t>
      </w:r>
      <w:r w:rsidR="56E1F846" w:rsidRPr="001E366B">
        <w:rPr>
          <w:sz w:val="24"/>
          <w:szCs w:val="24"/>
        </w:rPr>
        <w:t>s</w:t>
      </w:r>
      <w:r w:rsidR="00963326" w:rsidRPr="001E366B">
        <w:rPr>
          <w:sz w:val="24"/>
          <w:szCs w:val="24"/>
        </w:rPr>
        <w:t>, with space to add ‘others’</w:t>
      </w:r>
      <w:r>
        <w:rPr>
          <w:sz w:val="24"/>
          <w:szCs w:val="24"/>
        </w:rPr>
        <w:t>,</w:t>
      </w:r>
      <w:r w:rsidR="00963326" w:rsidRPr="001E366B">
        <w:rPr>
          <w:sz w:val="24"/>
          <w:szCs w:val="24"/>
        </w:rPr>
        <w:t xml:space="preserve"> if necessary. The list of surve</w:t>
      </w:r>
      <w:r w:rsidR="009A5011" w:rsidRPr="001E366B">
        <w:rPr>
          <w:sz w:val="24"/>
          <w:szCs w:val="24"/>
        </w:rPr>
        <w:t xml:space="preserve">y questions is shown in Table 1 and services </w:t>
      </w:r>
      <w:r w:rsidR="00C72336" w:rsidRPr="001E366B">
        <w:rPr>
          <w:sz w:val="24"/>
          <w:szCs w:val="24"/>
        </w:rPr>
        <w:t xml:space="preserve">specifically </w:t>
      </w:r>
      <w:r w:rsidR="007A24EB">
        <w:rPr>
          <w:sz w:val="24"/>
          <w:szCs w:val="24"/>
        </w:rPr>
        <w:t xml:space="preserve">listed </w:t>
      </w:r>
      <w:r w:rsidR="00C72336" w:rsidRPr="001E366B">
        <w:rPr>
          <w:sz w:val="24"/>
          <w:szCs w:val="24"/>
        </w:rPr>
        <w:t>in the survey</w:t>
      </w:r>
      <w:r w:rsidR="009A5011" w:rsidRPr="001E366B">
        <w:rPr>
          <w:sz w:val="24"/>
          <w:szCs w:val="24"/>
        </w:rPr>
        <w:t xml:space="preserve"> </w:t>
      </w:r>
      <w:r w:rsidR="00387CB6">
        <w:rPr>
          <w:sz w:val="24"/>
          <w:szCs w:val="24"/>
        </w:rPr>
        <w:t>are</w:t>
      </w:r>
      <w:r w:rsidR="00387CB6" w:rsidRPr="001E366B">
        <w:rPr>
          <w:sz w:val="24"/>
          <w:szCs w:val="24"/>
        </w:rPr>
        <w:t xml:space="preserve"> </w:t>
      </w:r>
      <w:r w:rsidR="009A5011" w:rsidRPr="001E366B">
        <w:rPr>
          <w:sz w:val="24"/>
          <w:szCs w:val="24"/>
        </w:rPr>
        <w:t>shown in Table 3</w:t>
      </w:r>
      <w:r w:rsidR="00C72336" w:rsidRPr="001E366B">
        <w:rPr>
          <w:sz w:val="24"/>
          <w:szCs w:val="24"/>
        </w:rPr>
        <w:t>, together with results</w:t>
      </w:r>
      <w:r w:rsidR="009A5011" w:rsidRPr="001E366B">
        <w:rPr>
          <w:sz w:val="24"/>
          <w:szCs w:val="24"/>
        </w:rPr>
        <w:t>.</w:t>
      </w:r>
    </w:p>
    <w:p w14:paraId="6FCB551B" w14:textId="771674D1" w:rsidR="00185E95" w:rsidRPr="001E366B" w:rsidRDefault="00103475" w:rsidP="087094F4">
      <w:pPr>
        <w:spacing w:line="360" w:lineRule="auto"/>
        <w:rPr>
          <w:sz w:val="24"/>
          <w:szCs w:val="24"/>
        </w:rPr>
      </w:pPr>
      <w:r w:rsidRPr="001E366B">
        <w:rPr>
          <w:sz w:val="24"/>
          <w:szCs w:val="24"/>
        </w:rPr>
        <w:t xml:space="preserve">The target population </w:t>
      </w:r>
      <w:r w:rsidR="00E75D96" w:rsidRPr="001E366B">
        <w:rPr>
          <w:sz w:val="24"/>
          <w:szCs w:val="24"/>
        </w:rPr>
        <w:t xml:space="preserve">included </w:t>
      </w:r>
      <w:r w:rsidR="00963326" w:rsidRPr="001E366B">
        <w:rPr>
          <w:sz w:val="24"/>
          <w:szCs w:val="24"/>
        </w:rPr>
        <w:t xml:space="preserve">practicing staff </w:t>
      </w:r>
      <w:r w:rsidR="00E75D96" w:rsidRPr="001E366B">
        <w:rPr>
          <w:sz w:val="24"/>
          <w:szCs w:val="24"/>
        </w:rPr>
        <w:t>pharmacist</w:t>
      </w:r>
      <w:r w:rsidR="00AF0508" w:rsidRPr="001E366B">
        <w:rPr>
          <w:sz w:val="24"/>
          <w:szCs w:val="24"/>
        </w:rPr>
        <w:t>s</w:t>
      </w:r>
      <w:r w:rsidR="00411536">
        <w:rPr>
          <w:sz w:val="24"/>
          <w:szCs w:val="24"/>
        </w:rPr>
        <w:t>,</w:t>
      </w:r>
      <w:r w:rsidR="007A24EB">
        <w:rPr>
          <w:sz w:val="24"/>
          <w:szCs w:val="24"/>
        </w:rPr>
        <w:t xml:space="preserve"> managing </w:t>
      </w:r>
      <w:r w:rsidR="00AF0508" w:rsidRPr="001E366B">
        <w:rPr>
          <w:sz w:val="24"/>
          <w:szCs w:val="24"/>
        </w:rPr>
        <w:t>pharmacist</w:t>
      </w:r>
      <w:r w:rsidR="007A24EB">
        <w:rPr>
          <w:sz w:val="24"/>
          <w:szCs w:val="24"/>
        </w:rPr>
        <w:t>s</w:t>
      </w:r>
      <w:r w:rsidR="00AF0508" w:rsidRPr="001E366B">
        <w:rPr>
          <w:sz w:val="24"/>
          <w:szCs w:val="24"/>
        </w:rPr>
        <w:t xml:space="preserve"> </w:t>
      </w:r>
      <w:r w:rsidR="007A24EB">
        <w:rPr>
          <w:sz w:val="24"/>
          <w:szCs w:val="24"/>
        </w:rPr>
        <w:t xml:space="preserve">and pharmacy </w:t>
      </w:r>
      <w:r w:rsidR="00AF0508" w:rsidRPr="001E366B">
        <w:rPr>
          <w:sz w:val="24"/>
          <w:szCs w:val="24"/>
        </w:rPr>
        <w:t xml:space="preserve">owners. </w:t>
      </w:r>
      <w:r w:rsidRPr="001E366B">
        <w:rPr>
          <w:sz w:val="24"/>
          <w:szCs w:val="24"/>
        </w:rPr>
        <w:t>Volunt</w:t>
      </w:r>
      <w:r w:rsidR="00AF0508" w:rsidRPr="001E366B">
        <w:rPr>
          <w:sz w:val="24"/>
          <w:szCs w:val="24"/>
        </w:rPr>
        <w:t>eer</w:t>
      </w:r>
      <w:r w:rsidRPr="001E366B">
        <w:rPr>
          <w:sz w:val="24"/>
          <w:szCs w:val="24"/>
        </w:rPr>
        <w:t xml:space="preserve"> sampling was </w:t>
      </w:r>
      <w:r w:rsidR="007A24EB">
        <w:rPr>
          <w:sz w:val="24"/>
          <w:szCs w:val="24"/>
        </w:rPr>
        <w:t>performed</w:t>
      </w:r>
      <w:r w:rsidR="007A24EB" w:rsidRPr="001E366B">
        <w:rPr>
          <w:sz w:val="24"/>
          <w:szCs w:val="24"/>
        </w:rPr>
        <w:t xml:space="preserve"> </w:t>
      </w:r>
      <w:r w:rsidR="00AC49FF" w:rsidRPr="001E366B">
        <w:rPr>
          <w:sz w:val="24"/>
          <w:szCs w:val="24"/>
        </w:rPr>
        <w:t xml:space="preserve">over a </w:t>
      </w:r>
      <w:proofErr w:type="gramStart"/>
      <w:r w:rsidR="007A24EB">
        <w:rPr>
          <w:sz w:val="24"/>
          <w:szCs w:val="24"/>
        </w:rPr>
        <w:t>9 week</w:t>
      </w:r>
      <w:proofErr w:type="gramEnd"/>
      <w:r w:rsidR="007A24EB">
        <w:rPr>
          <w:sz w:val="24"/>
          <w:szCs w:val="24"/>
        </w:rPr>
        <w:t xml:space="preserve"> </w:t>
      </w:r>
      <w:r w:rsidR="00AC49FF" w:rsidRPr="001E366B">
        <w:rPr>
          <w:sz w:val="24"/>
          <w:szCs w:val="24"/>
        </w:rPr>
        <w:t xml:space="preserve">period </w:t>
      </w:r>
      <w:r w:rsidR="00185E95" w:rsidRPr="001E366B">
        <w:rPr>
          <w:sz w:val="24"/>
          <w:szCs w:val="24"/>
        </w:rPr>
        <w:t xml:space="preserve">from </w:t>
      </w:r>
      <w:r w:rsidR="00AC49FF" w:rsidRPr="001E366B">
        <w:rPr>
          <w:sz w:val="24"/>
          <w:szCs w:val="24"/>
        </w:rPr>
        <w:t>August</w:t>
      </w:r>
      <w:r w:rsidR="00185E95" w:rsidRPr="001E366B">
        <w:rPr>
          <w:sz w:val="24"/>
          <w:szCs w:val="24"/>
        </w:rPr>
        <w:t xml:space="preserve"> to </w:t>
      </w:r>
      <w:r w:rsidR="00AC49FF" w:rsidRPr="001E366B">
        <w:rPr>
          <w:sz w:val="24"/>
          <w:szCs w:val="24"/>
        </w:rPr>
        <w:t xml:space="preserve">October, </w:t>
      </w:r>
      <w:r w:rsidR="002156B2" w:rsidRPr="001E366B">
        <w:rPr>
          <w:sz w:val="24"/>
          <w:szCs w:val="24"/>
        </w:rPr>
        <w:t>2019</w:t>
      </w:r>
      <w:r w:rsidR="00185E95" w:rsidRPr="001E366B">
        <w:rPr>
          <w:sz w:val="24"/>
          <w:szCs w:val="24"/>
        </w:rPr>
        <w:t>. Email</w:t>
      </w:r>
      <w:r w:rsidR="007A24EB">
        <w:rPr>
          <w:sz w:val="24"/>
          <w:szCs w:val="24"/>
        </w:rPr>
        <w:t xml:space="preserve"> invitations</w:t>
      </w:r>
      <w:r w:rsidR="00185E95" w:rsidRPr="001E366B">
        <w:rPr>
          <w:sz w:val="24"/>
          <w:szCs w:val="24"/>
        </w:rPr>
        <w:t xml:space="preserve"> </w:t>
      </w:r>
      <w:r w:rsidR="007A24EB">
        <w:rPr>
          <w:sz w:val="24"/>
          <w:szCs w:val="24"/>
        </w:rPr>
        <w:t xml:space="preserve">with a link to the </w:t>
      </w:r>
      <w:r w:rsidR="007A24EB" w:rsidRPr="001E366B">
        <w:rPr>
          <w:sz w:val="24"/>
          <w:szCs w:val="24"/>
        </w:rPr>
        <w:t>online Survey Monkey™</w:t>
      </w:r>
      <w:r w:rsidR="007A24EB">
        <w:rPr>
          <w:sz w:val="24"/>
          <w:szCs w:val="24"/>
        </w:rPr>
        <w:t xml:space="preserve"> </w:t>
      </w:r>
      <w:r w:rsidR="007A24EB" w:rsidRPr="001E366B">
        <w:rPr>
          <w:sz w:val="24"/>
          <w:szCs w:val="24"/>
        </w:rPr>
        <w:t xml:space="preserve">questionnaire </w:t>
      </w:r>
      <w:r w:rsidR="00185E95" w:rsidRPr="001E366B">
        <w:rPr>
          <w:sz w:val="24"/>
          <w:szCs w:val="24"/>
        </w:rPr>
        <w:t>were sent</w:t>
      </w:r>
      <w:r w:rsidR="002156B2" w:rsidRPr="001E366B">
        <w:rPr>
          <w:sz w:val="24"/>
          <w:szCs w:val="24"/>
        </w:rPr>
        <w:t xml:space="preserve"> to </w:t>
      </w:r>
      <w:r w:rsidR="00AF0508" w:rsidRPr="001E366B">
        <w:rPr>
          <w:sz w:val="24"/>
          <w:szCs w:val="24"/>
        </w:rPr>
        <w:t xml:space="preserve">pharmacists listed </w:t>
      </w:r>
      <w:r w:rsidR="00387CB6">
        <w:rPr>
          <w:sz w:val="24"/>
          <w:szCs w:val="24"/>
        </w:rPr>
        <w:t>i</w:t>
      </w:r>
      <w:r w:rsidR="00AF0508" w:rsidRPr="001E366B">
        <w:rPr>
          <w:sz w:val="24"/>
          <w:szCs w:val="24"/>
        </w:rPr>
        <w:t xml:space="preserve">n the data base </w:t>
      </w:r>
      <w:r w:rsidR="002156B2" w:rsidRPr="001E366B">
        <w:rPr>
          <w:sz w:val="24"/>
          <w:szCs w:val="24"/>
        </w:rPr>
        <w:t xml:space="preserve">held by the </w:t>
      </w:r>
      <w:r w:rsidR="005E5A5C">
        <w:rPr>
          <w:sz w:val="24"/>
          <w:szCs w:val="24"/>
        </w:rPr>
        <w:t>UDRH</w:t>
      </w:r>
      <w:r w:rsidR="00AF0508" w:rsidRPr="001E366B">
        <w:rPr>
          <w:sz w:val="24"/>
          <w:szCs w:val="24"/>
        </w:rPr>
        <w:t>. D</w:t>
      </w:r>
      <w:r w:rsidR="00185E95" w:rsidRPr="001E366B">
        <w:rPr>
          <w:sz w:val="24"/>
          <w:szCs w:val="24"/>
        </w:rPr>
        <w:t xml:space="preserve">ata was also collected face-to-face </w:t>
      </w:r>
      <w:r w:rsidR="00AF0508" w:rsidRPr="001E366B">
        <w:rPr>
          <w:sz w:val="24"/>
          <w:szCs w:val="24"/>
        </w:rPr>
        <w:t xml:space="preserve">by the RPLOs </w:t>
      </w:r>
      <w:r w:rsidR="00185E95" w:rsidRPr="001E366B">
        <w:rPr>
          <w:sz w:val="24"/>
          <w:szCs w:val="24"/>
        </w:rPr>
        <w:t>during site visits</w:t>
      </w:r>
      <w:r w:rsidR="00AF0508" w:rsidRPr="001E366B">
        <w:rPr>
          <w:sz w:val="24"/>
          <w:szCs w:val="24"/>
        </w:rPr>
        <w:t>,</w:t>
      </w:r>
      <w:r w:rsidR="00185E95" w:rsidRPr="001E366B">
        <w:rPr>
          <w:sz w:val="24"/>
          <w:szCs w:val="24"/>
        </w:rPr>
        <w:t xml:space="preserve"> </w:t>
      </w:r>
      <w:r w:rsidR="00AF0508" w:rsidRPr="001E366B">
        <w:rPr>
          <w:sz w:val="24"/>
          <w:szCs w:val="24"/>
        </w:rPr>
        <w:t>entering responses into the online questionnaire using an iPad</w:t>
      </w:r>
      <w:r w:rsidR="00185E95" w:rsidRPr="001E366B">
        <w:rPr>
          <w:sz w:val="24"/>
          <w:szCs w:val="24"/>
        </w:rPr>
        <w:t>.</w:t>
      </w:r>
      <w:r w:rsidR="1F12D314" w:rsidRPr="001E366B">
        <w:rPr>
          <w:sz w:val="24"/>
          <w:szCs w:val="24"/>
        </w:rPr>
        <w:t xml:space="preserve"> </w:t>
      </w:r>
      <w:r w:rsidR="00AF0508" w:rsidRPr="001E366B">
        <w:rPr>
          <w:sz w:val="24"/>
          <w:szCs w:val="24"/>
        </w:rPr>
        <w:t>All d</w:t>
      </w:r>
      <w:r w:rsidR="00185E95" w:rsidRPr="001E366B">
        <w:rPr>
          <w:sz w:val="24"/>
          <w:szCs w:val="24"/>
        </w:rPr>
        <w:t xml:space="preserve">ata </w:t>
      </w:r>
      <w:r w:rsidR="00387CB6" w:rsidRPr="001E366B">
        <w:rPr>
          <w:sz w:val="24"/>
          <w:szCs w:val="24"/>
        </w:rPr>
        <w:t>w</w:t>
      </w:r>
      <w:r w:rsidR="00387CB6">
        <w:rPr>
          <w:sz w:val="24"/>
          <w:szCs w:val="24"/>
        </w:rPr>
        <w:t>ere</w:t>
      </w:r>
      <w:r w:rsidR="00387CB6" w:rsidRPr="001E366B">
        <w:rPr>
          <w:sz w:val="24"/>
          <w:szCs w:val="24"/>
        </w:rPr>
        <w:t xml:space="preserve"> </w:t>
      </w:r>
      <w:r w:rsidR="007A24EB">
        <w:rPr>
          <w:sz w:val="24"/>
          <w:szCs w:val="24"/>
        </w:rPr>
        <w:t>downloaded</w:t>
      </w:r>
      <w:r w:rsidR="00AF0508" w:rsidRPr="001E366B">
        <w:rPr>
          <w:sz w:val="24"/>
          <w:szCs w:val="24"/>
        </w:rPr>
        <w:t xml:space="preserve"> into a Microsoft</w:t>
      </w:r>
      <w:r w:rsidR="00185E95" w:rsidRPr="001E366B">
        <w:rPr>
          <w:sz w:val="24"/>
          <w:szCs w:val="24"/>
        </w:rPr>
        <w:t xml:space="preserve"> Excel</w:t>
      </w:r>
      <w:r w:rsidR="00AF0508" w:rsidRPr="001E366B">
        <w:rPr>
          <w:sz w:val="24"/>
          <w:szCs w:val="24"/>
        </w:rPr>
        <w:t>™</w:t>
      </w:r>
      <w:r w:rsidR="00185E95" w:rsidRPr="001E366B">
        <w:rPr>
          <w:sz w:val="24"/>
          <w:szCs w:val="24"/>
        </w:rPr>
        <w:t xml:space="preserve"> spreadsheet </w:t>
      </w:r>
      <w:r w:rsidR="00387CB6">
        <w:rPr>
          <w:sz w:val="24"/>
          <w:szCs w:val="24"/>
        </w:rPr>
        <w:t>and</w:t>
      </w:r>
      <w:r w:rsidR="00185E95" w:rsidRPr="001E366B">
        <w:rPr>
          <w:sz w:val="24"/>
          <w:szCs w:val="24"/>
        </w:rPr>
        <w:t xml:space="preserve"> exported into </w:t>
      </w:r>
      <w:r w:rsidR="00AF0508" w:rsidRPr="001E366B">
        <w:rPr>
          <w:sz w:val="24"/>
          <w:szCs w:val="24"/>
        </w:rPr>
        <w:t>Statistical Package for Social Sciences (SPSS)</w:t>
      </w:r>
      <w:r w:rsidR="00185E95" w:rsidRPr="001E366B">
        <w:rPr>
          <w:sz w:val="24"/>
          <w:szCs w:val="24"/>
        </w:rPr>
        <w:t xml:space="preserve"> </w:t>
      </w:r>
      <w:r w:rsidR="000502E6" w:rsidRPr="001E366B">
        <w:rPr>
          <w:sz w:val="24"/>
          <w:szCs w:val="24"/>
        </w:rPr>
        <w:t xml:space="preserve">(IBM Australia, St Leonards, Sydney) </w:t>
      </w:r>
      <w:r w:rsidR="00185E95" w:rsidRPr="001E366B">
        <w:rPr>
          <w:sz w:val="24"/>
          <w:szCs w:val="24"/>
        </w:rPr>
        <w:t>for analysis</w:t>
      </w:r>
      <w:r w:rsidR="00C72336" w:rsidRPr="001E366B">
        <w:rPr>
          <w:sz w:val="24"/>
          <w:szCs w:val="24"/>
        </w:rPr>
        <w:t>.</w:t>
      </w:r>
    </w:p>
    <w:p w14:paraId="6FCB551C" w14:textId="77777777" w:rsidR="00185E95" w:rsidRPr="001E366B" w:rsidRDefault="00185E95" w:rsidP="00881ACA">
      <w:pPr>
        <w:spacing w:line="360" w:lineRule="auto"/>
        <w:rPr>
          <w:rFonts w:cstheme="minorHAnsi"/>
          <w:sz w:val="24"/>
          <w:szCs w:val="24"/>
        </w:rPr>
      </w:pPr>
    </w:p>
    <w:p w14:paraId="6FCB551D" w14:textId="77777777" w:rsidR="00185E95" w:rsidRPr="003667E9" w:rsidRDefault="00185E95" w:rsidP="00177CAC">
      <w:pPr>
        <w:spacing w:after="120" w:line="360" w:lineRule="auto"/>
        <w:rPr>
          <w:rFonts w:cstheme="minorHAnsi"/>
          <w:b/>
          <w:sz w:val="28"/>
          <w:szCs w:val="28"/>
        </w:rPr>
      </w:pPr>
      <w:r w:rsidRPr="003667E9">
        <w:rPr>
          <w:rFonts w:cstheme="minorHAnsi"/>
          <w:b/>
          <w:sz w:val="28"/>
          <w:szCs w:val="28"/>
        </w:rPr>
        <w:t>Results</w:t>
      </w:r>
    </w:p>
    <w:p w14:paraId="52615380" w14:textId="225CAA1E" w:rsidR="00495578" w:rsidRPr="001E366B" w:rsidRDefault="00D85781" w:rsidP="087094F4">
      <w:pPr>
        <w:spacing w:after="120" w:line="360" w:lineRule="auto"/>
        <w:rPr>
          <w:sz w:val="24"/>
          <w:szCs w:val="24"/>
        </w:rPr>
      </w:pPr>
      <w:r>
        <w:rPr>
          <w:sz w:val="24"/>
          <w:szCs w:val="24"/>
        </w:rPr>
        <w:t>A</w:t>
      </w:r>
      <w:r w:rsidR="00185E95" w:rsidRPr="001E366B">
        <w:rPr>
          <w:sz w:val="24"/>
          <w:szCs w:val="24"/>
        </w:rPr>
        <w:t xml:space="preserve"> total o</w:t>
      </w:r>
      <w:r w:rsidR="00F6311E" w:rsidRPr="001E366B">
        <w:rPr>
          <w:sz w:val="24"/>
          <w:szCs w:val="24"/>
        </w:rPr>
        <w:t xml:space="preserve">f 50 pharmacists provided data, </w:t>
      </w:r>
      <w:r w:rsidR="004E5770">
        <w:rPr>
          <w:sz w:val="24"/>
          <w:szCs w:val="24"/>
        </w:rPr>
        <w:t xml:space="preserve">being </w:t>
      </w:r>
      <w:r w:rsidR="006F236F">
        <w:rPr>
          <w:sz w:val="24"/>
          <w:szCs w:val="24"/>
        </w:rPr>
        <w:t>some</w:t>
      </w:r>
      <w:r w:rsidR="00DA7C38">
        <w:rPr>
          <w:sz w:val="24"/>
          <w:szCs w:val="24"/>
        </w:rPr>
        <w:t xml:space="preserve"> 46% of those invited to participate and </w:t>
      </w:r>
      <w:r>
        <w:rPr>
          <w:sz w:val="24"/>
          <w:szCs w:val="24"/>
        </w:rPr>
        <w:t>about</w:t>
      </w:r>
      <w:r w:rsidR="004E5770">
        <w:rPr>
          <w:sz w:val="24"/>
          <w:szCs w:val="24"/>
        </w:rPr>
        <w:t xml:space="preserve"> 25% of the </w:t>
      </w:r>
      <w:r w:rsidR="00DA7C38">
        <w:rPr>
          <w:sz w:val="24"/>
          <w:szCs w:val="24"/>
        </w:rPr>
        <w:t xml:space="preserve">registered </w:t>
      </w:r>
      <w:r w:rsidR="004E5770">
        <w:rPr>
          <w:sz w:val="24"/>
          <w:szCs w:val="24"/>
        </w:rPr>
        <w:t xml:space="preserve">pharmacy workforce in the combined </w:t>
      </w:r>
      <w:proofErr w:type="gramStart"/>
      <w:r w:rsidR="004E5770">
        <w:rPr>
          <w:sz w:val="24"/>
          <w:szCs w:val="24"/>
        </w:rPr>
        <w:t>regions</w:t>
      </w:r>
      <w:r w:rsidR="007474DE">
        <w:rPr>
          <w:sz w:val="24"/>
          <w:szCs w:val="24"/>
        </w:rPr>
        <w:t>[</w:t>
      </w:r>
      <w:proofErr w:type="gramEnd"/>
      <w:r w:rsidR="007474DE">
        <w:rPr>
          <w:sz w:val="24"/>
          <w:szCs w:val="24"/>
        </w:rPr>
        <w:t>21]</w:t>
      </w:r>
      <w:r w:rsidR="00DA7C38">
        <w:rPr>
          <w:sz w:val="24"/>
          <w:szCs w:val="24"/>
        </w:rPr>
        <w:t>.</w:t>
      </w:r>
      <w:r w:rsidR="00F6311E" w:rsidRPr="001E366B">
        <w:rPr>
          <w:sz w:val="24"/>
          <w:szCs w:val="24"/>
        </w:rPr>
        <w:t xml:space="preserve"> </w:t>
      </w:r>
      <w:r>
        <w:rPr>
          <w:sz w:val="24"/>
          <w:szCs w:val="24"/>
        </w:rPr>
        <w:t>D</w:t>
      </w:r>
      <w:r w:rsidR="00BB27CA" w:rsidRPr="001E366B">
        <w:rPr>
          <w:sz w:val="24"/>
          <w:szCs w:val="24"/>
        </w:rPr>
        <w:t xml:space="preserve">emographic variables </w:t>
      </w:r>
      <w:r>
        <w:rPr>
          <w:sz w:val="24"/>
          <w:szCs w:val="24"/>
        </w:rPr>
        <w:t>are</w:t>
      </w:r>
      <w:r w:rsidRPr="001E366B">
        <w:rPr>
          <w:sz w:val="24"/>
          <w:szCs w:val="24"/>
        </w:rPr>
        <w:t xml:space="preserve"> </w:t>
      </w:r>
      <w:r w:rsidR="00BB27CA" w:rsidRPr="001E366B">
        <w:rPr>
          <w:sz w:val="24"/>
          <w:szCs w:val="24"/>
        </w:rPr>
        <w:t>shown in Table 2</w:t>
      </w:r>
      <w:r w:rsidR="008F3477">
        <w:rPr>
          <w:sz w:val="24"/>
          <w:szCs w:val="24"/>
        </w:rPr>
        <w:t xml:space="preserve"> </w:t>
      </w:r>
      <w:r>
        <w:rPr>
          <w:sz w:val="24"/>
          <w:szCs w:val="24"/>
        </w:rPr>
        <w:t>for the</w:t>
      </w:r>
      <w:r w:rsidR="00CB1985" w:rsidRPr="001E366B">
        <w:rPr>
          <w:sz w:val="24"/>
          <w:szCs w:val="24"/>
        </w:rPr>
        <w:t xml:space="preserve"> 28 respondents </w:t>
      </w:r>
      <w:r>
        <w:rPr>
          <w:sz w:val="24"/>
          <w:szCs w:val="24"/>
        </w:rPr>
        <w:t>from</w:t>
      </w:r>
      <w:r w:rsidRPr="001E366B">
        <w:rPr>
          <w:sz w:val="24"/>
          <w:szCs w:val="24"/>
        </w:rPr>
        <w:t xml:space="preserve"> </w:t>
      </w:r>
      <w:r w:rsidR="00CB1985" w:rsidRPr="001E366B">
        <w:rPr>
          <w:sz w:val="24"/>
          <w:szCs w:val="24"/>
        </w:rPr>
        <w:t xml:space="preserve">the </w:t>
      </w:r>
      <w:r w:rsidR="00C46CA9" w:rsidRPr="001E366B">
        <w:rPr>
          <w:sz w:val="24"/>
          <w:szCs w:val="24"/>
        </w:rPr>
        <w:t>Taree</w:t>
      </w:r>
      <w:r w:rsidR="00CB1985" w:rsidRPr="001E366B">
        <w:rPr>
          <w:sz w:val="24"/>
          <w:szCs w:val="24"/>
        </w:rPr>
        <w:t xml:space="preserve"> </w:t>
      </w:r>
      <w:r>
        <w:rPr>
          <w:sz w:val="24"/>
          <w:szCs w:val="24"/>
        </w:rPr>
        <w:t>region</w:t>
      </w:r>
      <w:r w:rsidR="00CB1985" w:rsidRPr="001E366B">
        <w:rPr>
          <w:sz w:val="24"/>
          <w:szCs w:val="24"/>
        </w:rPr>
        <w:t xml:space="preserve"> and 22 </w:t>
      </w:r>
      <w:r>
        <w:rPr>
          <w:sz w:val="24"/>
          <w:szCs w:val="24"/>
        </w:rPr>
        <w:t>from the</w:t>
      </w:r>
      <w:r w:rsidR="00CB1985" w:rsidRPr="001E366B">
        <w:rPr>
          <w:sz w:val="24"/>
          <w:szCs w:val="24"/>
        </w:rPr>
        <w:t xml:space="preserve"> </w:t>
      </w:r>
      <w:r w:rsidR="00C46CA9" w:rsidRPr="001E366B">
        <w:rPr>
          <w:sz w:val="24"/>
          <w:szCs w:val="24"/>
        </w:rPr>
        <w:t xml:space="preserve">Tamworth </w:t>
      </w:r>
      <w:r>
        <w:rPr>
          <w:sz w:val="24"/>
          <w:szCs w:val="24"/>
        </w:rPr>
        <w:t>region</w:t>
      </w:r>
      <w:r w:rsidR="00CB1985" w:rsidRPr="001E366B">
        <w:rPr>
          <w:sz w:val="24"/>
          <w:szCs w:val="24"/>
        </w:rPr>
        <w:t xml:space="preserve">. </w:t>
      </w:r>
      <w:r w:rsidR="00BB27CA" w:rsidRPr="001E366B">
        <w:rPr>
          <w:sz w:val="24"/>
          <w:szCs w:val="24"/>
        </w:rPr>
        <w:t xml:space="preserve">Only one respondent was a hospital pharmacist, the rest being employed in community pharmacy, </w:t>
      </w:r>
      <w:r w:rsidR="52B31363" w:rsidRPr="001E366B">
        <w:rPr>
          <w:sz w:val="24"/>
          <w:szCs w:val="24"/>
        </w:rPr>
        <w:t xml:space="preserve">including one </w:t>
      </w:r>
      <w:r w:rsidR="00BB27CA" w:rsidRPr="001E366B">
        <w:rPr>
          <w:sz w:val="24"/>
          <w:szCs w:val="24"/>
        </w:rPr>
        <w:t xml:space="preserve">intern. </w:t>
      </w:r>
      <w:r w:rsidR="00DD54F4" w:rsidRPr="001E366B">
        <w:rPr>
          <w:sz w:val="24"/>
          <w:szCs w:val="24"/>
        </w:rPr>
        <w:t>The majority (6</w:t>
      </w:r>
      <w:r w:rsidR="008F3477">
        <w:rPr>
          <w:sz w:val="24"/>
          <w:szCs w:val="24"/>
        </w:rPr>
        <w:t>2</w:t>
      </w:r>
      <w:r w:rsidR="00DD54F4" w:rsidRPr="001E366B">
        <w:rPr>
          <w:sz w:val="24"/>
          <w:szCs w:val="24"/>
        </w:rPr>
        <w:t xml:space="preserve">%) were female. </w:t>
      </w:r>
      <w:r>
        <w:rPr>
          <w:sz w:val="24"/>
          <w:szCs w:val="24"/>
        </w:rPr>
        <w:t>A</w:t>
      </w:r>
      <w:r w:rsidR="00DD54F4" w:rsidRPr="001E366B">
        <w:rPr>
          <w:sz w:val="24"/>
          <w:szCs w:val="24"/>
        </w:rPr>
        <w:t xml:space="preserve">lmost half indicated that they were </w:t>
      </w:r>
      <w:r w:rsidR="00A34C70" w:rsidRPr="001E366B">
        <w:rPr>
          <w:sz w:val="24"/>
          <w:szCs w:val="24"/>
        </w:rPr>
        <w:t xml:space="preserve">employed as </w:t>
      </w:r>
      <w:r w:rsidR="00DD54F4" w:rsidRPr="001E366B">
        <w:rPr>
          <w:sz w:val="24"/>
          <w:szCs w:val="24"/>
        </w:rPr>
        <w:t xml:space="preserve">community pharmacists and </w:t>
      </w:r>
      <w:r w:rsidR="0015610C" w:rsidRPr="001E366B">
        <w:rPr>
          <w:sz w:val="24"/>
          <w:szCs w:val="24"/>
        </w:rPr>
        <w:t>22 (44</w:t>
      </w:r>
      <w:r w:rsidR="00DD54F4" w:rsidRPr="001E366B">
        <w:rPr>
          <w:sz w:val="24"/>
          <w:szCs w:val="24"/>
        </w:rPr>
        <w:t>%</w:t>
      </w:r>
      <w:r w:rsidR="0015610C" w:rsidRPr="001E366B">
        <w:rPr>
          <w:sz w:val="24"/>
          <w:szCs w:val="24"/>
        </w:rPr>
        <w:t>)</w:t>
      </w:r>
      <w:r w:rsidR="00DD54F4" w:rsidRPr="001E366B">
        <w:rPr>
          <w:sz w:val="24"/>
          <w:szCs w:val="24"/>
        </w:rPr>
        <w:t xml:space="preserve"> were pharmacy owners</w:t>
      </w:r>
      <w:r w:rsidR="00290221" w:rsidRPr="001E366B">
        <w:rPr>
          <w:sz w:val="24"/>
          <w:szCs w:val="24"/>
        </w:rPr>
        <w:t xml:space="preserve"> or owner-</w:t>
      </w:r>
      <w:r w:rsidR="005F21B2" w:rsidRPr="001E366B">
        <w:rPr>
          <w:sz w:val="24"/>
          <w:szCs w:val="24"/>
        </w:rPr>
        <w:t>managers</w:t>
      </w:r>
      <w:r w:rsidR="00495578" w:rsidRPr="001E366B">
        <w:rPr>
          <w:sz w:val="24"/>
          <w:szCs w:val="24"/>
        </w:rPr>
        <w:t>.</w:t>
      </w:r>
    </w:p>
    <w:p w14:paraId="6FCB551F" w14:textId="2150CD85" w:rsidR="00185E95" w:rsidRPr="001E366B" w:rsidRDefault="00D85781" w:rsidP="087094F4">
      <w:pPr>
        <w:spacing w:after="120" w:line="360" w:lineRule="auto"/>
        <w:rPr>
          <w:sz w:val="24"/>
          <w:szCs w:val="24"/>
        </w:rPr>
      </w:pPr>
      <w:r>
        <w:rPr>
          <w:sz w:val="24"/>
          <w:szCs w:val="24"/>
        </w:rPr>
        <w:t>D</w:t>
      </w:r>
      <w:r w:rsidR="00DC4399" w:rsidRPr="001E366B">
        <w:rPr>
          <w:sz w:val="24"/>
          <w:szCs w:val="24"/>
        </w:rPr>
        <w:t xml:space="preserve">istribution of age was similar to </w:t>
      </w:r>
      <w:r>
        <w:rPr>
          <w:sz w:val="24"/>
          <w:szCs w:val="24"/>
        </w:rPr>
        <w:t xml:space="preserve">the </w:t>
      </w:r>
      <w:r w:rsidRPr="001E366B">
        <w:rPr>
          <w:sz w:val="24"/>
          <w:szCs w:val="24"/>
        </w:rPr>
        <w:t xml:space="preserve">2018/19 </w:t>
      </w:r>
      <w:r w:rsidR="00DC4399" w:rsidRPr="001E366B">
        <w:rPr>
          <w:sz w:val="24"/>
          <w:szCs w:val="24"/>
        </w:rPr>
        <w:t xml:space="preserve">AHPRA workforce age </w:t>
      </w:r>
      <w:proofErr w:type="gramStart"/>
      <w:r w:rsidR="00DC4399" w:rsidRPr="001E366B">
        <w:rPr>
          <w:sz w:val="24"/>
          <w:szCs w:val="24"/>
        </w:rPr>
        <w:t>profile</w:t>
      </w:r>
      <w:r w:rsidR="007474DE">
        <w:rPr>
          <w:sz w:val="24"/>
          <w:szCs w:val="24"/>
        </w:rPr>
        <w:t>[</w:t>
      </w:r>
      <w:proofErr w:type="gramEnd"/>
      <w:r w:rsidR="007474DE">
        <w:rPr>
          <w:sz w:val="24"/>
          <w:szCs w:val="24"/>
        </w:rPr>
        <w:t>2]</w:t>
      </w:r>
      <w:r w:rsidR="00DC4399" w:rsidRPr="001E366B">
        <w:rPr>
          <w:sz w:val="24"/>
          <w:szCs w:val="24"/>
        </w:rPr>
        <w:t xml:space="preserve"> (p=0.151, Chi</w:t>
      </w:r>
      <w:r w:rsidR="00DC4399" w:rsidRPr="001E366B">
        <w:rPr>
          <w:sz w:val="24"/>
          <w:szCs w:val="24"/>
          <w:vertAlign w:val="superscript"/>
        </w:rPr>
        <w:t>2</w:t>
      </w:r>
      <w:r w:rsidR="00DC4399" w:rsidRPr="001E366B">
        <w:rPr>
          <w:sz w:val="24"/>
          <w:szCs w:val="24"/>
        </w:rPr>
        <w:t xml:space="preserve">), as in Figure 1, with the largest proportion in the 25 to 34 </w:t>
      </w:r>
      <w:r w:rsidR="00D02C7E">
        <w:rPr>
          <w:sz w:val="24"/>
          <w:szCs w:val="24"/>
        </w:rPr>
        <w:t>age</w:t>
      </w:r>
      <w:r w:rsidR="00DC4399" w:rsidRPr="001E366B">
        <w:rPr>
          <w:sz w:val="24"/>
          <w:szCs w:val="24"/>
        </w:rPr>
        <w:t xml:space="preserve"> category, the next largest </w:t>
      </w:r>
      <w:r w:rsidRPr="001E366B">
        <w:rPr>
          <w:sz w:val="24"/>
          <w:szCs w:val="24"/>
        </w:rPr>
        <w:t xml:space="preserve">category </w:t>
      </w:r>
      <w:r w:rsidR="00DC4399" w:rsidRPr="001E366B">
        <w:rPr>
          <w:sz w:val="24"/>
          <w:szCs w:val="24"/>
        </w:rPr>
        <w:t xml:space="preserve">being 35 to 44 years. </w:t>
      </w:r>
      <w:r w:rsidR="00293258" w:rsidRPr="001E366B">
        <w:rPr>
          <w:sz w:val="24"/>
          <w:szCs w:val="24"/>
        </w:rPr>
        <w:t xml:space="preserve">The </w:t>
      </w:r>
      <w:r w:rsidR="008F3477">
        <w:rPr>
          <w:sz w:val="24"/>
          <w:szCs w:val="24"/>
        </w:rPr>
        <w:t>smallest</w:t>
      </w:r>
      <w:r w:rsidR="008F3477" w:rsidRPr="001E366B">
        <w:rPr>
          <w:sz w:val="24"/>
          <w:szCs w:val="24"/>
        </w:rPr>
        <w:t xml:space="preserve"> </w:t>
      </w:r>
      <w:r w:rsidR="00691D65" w:rsidRPr="001E366B">
        <w:rPr>
          <w:sz w:val="24"/>
          <w:szCs w:val="24"/>
        </w:rPr>
        <w:t xml:space="preserve">age </w:t>
      </w:r>
      <w:r w:rsidR="00E42CF6" w:rsidRPr="001E366B">
        <w:rPr>
          <w:sz w:val="24"/>
          <w:szCs w:val="24"/>
        </w:rPr>
        <w:t>category was less than 25 years</w:t>
      </w:r>
      <w:r>
        <w:rPr>
          <w:sz w:val="24"/>
          <w:szCs w:val="24"/>
        </w:rPr>
        <w:t xml:space="preserve"> (n=2) </w:t>
      </w:r>
      <w:r w:rsidR="00E42CF6" w:rsidRPr="001E366B">
        <w:rPr>
          <w:sz w:val="24"/>
          <w:szCs w:val="24"/>
        </w:rPr>
        <w:t xml:space="preserve">and </w:t>
      </w:r>
      <w:r w:rsidR="00290221" w:rsidRPr="001E366B">
        <w:rPr>
          <w:sz w:val="24"/>
          <w:szCs w:val="24"/>
        </w:rPr>
        <w:t xml:space="preserve">only one respondent </w:t>
      </w:r>
      <w:r w:rsidR="008075C4">
        <w:rPr>
          <w:sz w:val="24"/>
          <w:szCs w:val="24"/>
        </w:rPr>
        <w:t xml:space="preserve">was </w:t>
      </w:r>
      <w:r w:rsidR="00293258" w:rsidRPr="001E366B">
        <w:rPr>
          <w:sz w:val="24"/>
          <w:szCs w:val="24"/>
        </w:rPr>
        <w:t>older</w:t>
      </w:r>
      <w:r w:rsidR="00E42CF6" w:rsidRPr="001E366B">
        <w:rPr>
          <w:sz w:val="24"/>
          <w:szCs w:val="24"/>
        </w:rPr>
        <w:t xml:space="preserve"> than 70 years</w:t>
      </w:r>
      <w:r w:rsidR="00293258" w:rsidRPr="001E366B">
        <w:rPr>
          <w:sz w:val="24"/>
          <w:szCs w:val="24"/>
        </w:rPr>
        <w:t xml:space="preserve">. </w:t>
      </w:r>
      <w:r w:rsidR="008075C4">
        <w:rPr>
          <w:sz w:val="24"/>
          <w:szCs w:val="24"/>
        </w:rPr>
        <w:t>Nine</w:t>
      </w:r>
      <w:r w:rsidR="00661310" w:rsidRPr="001E366B">
        <w:rPr>
          <w:sz w:val="24"/>
          <w:szCs w:val="24"/>
        </w:rPr>
        <w:t xml:space="preserve"> respondents (18%) thought they </w:t>
      </w:r>
      <w:r w:rsidR="004452C4" w:rsidRPr="001E366B">
        <w:rPr>
          <w:sz w:val="24"/>
          <w:szCs w:val="24"/>
        </w:rPr>
        <w:t>may</w:t>
      </w:r>
      <w:r w:rsidR="00661310" w:rsidRPr="001E366B">
        <w:rPr>
          <w:sz w:val="24"/>
          <w:szCs w:val="24"/>
        </w:rPr>
        <w:t xml:space="preserve"> retire in the next 5 years, with a further </w:t>
      </w:r>
      <w:r w:rsidR="008075C4">
        <w:rPr>
          <w:sz w:val="24"/>
          <w:szCs w:val="24"/>
        </w:rPr>
        <w:t>five</w:t>
      </w:r>
      <w:r w:rsidR="008075C4" w:rsidRPr="001E366B">
        <w:rPr>
          <w:sz w:val="24"/>
          <w:szCs w:val="24"/>
        </w:rPr>
        <w:t xml:space="preserve"> </w:t>
      </w:r>
      <w:r w:rsidR="00661310" w:rsidRPr="001E366B">
        <w:rPr>
          <w:sz w:val="24"/>
          <w:szCs w:val="24"/>
        </w:rPr>
        <w:t>(10%) unsure.</w:t>
      </w:r>
    </w:p>
    <w:p w14:paraId="07C8B544" w14:textId="06E4B281" w:rsidR="004C400B" w:rsidRPr="001E366B" w:rsidRDefault="004430C7" w:rsidP="087094F4">
      <w:pPr>
        <w:spacing w:after="120" w:line="360" w:lineRule="auto"/>
        <w:rPr>
          <w:sz w:val="24"/>
          <w:szCs w:val="24"/>
        </w:rPr>
      </w:pPr>
      <w:r>
        <w:rPr>
          <w:sz w:val="24"/>
          <w:szCs w:val="24"/>
        </w:rPr>
        <w:t>Location d</w:t>
      </w:r>
      <w:r w:rsidR="004C400B" w:rsidRPr="001E366B">
        <w:rPr>
          <w:sz w:val="24"/>
          <w:szCs w:val="24"/>
        </w:rPr>
        <w:t xml:space="preserve">ata was categorised </w:t>
      </w:r>
      <w:r w:rsidR="00E220AA">
        <w:rPr>
          <w:sz w:val="24"/>
          <w:szCs w:val="24"/>
        </w:rPr>
        <w:t>using</w:t>
      </w:r>
      <w:r w:rsidR="004C400B" w:rsidRPr="001E366B">
        <w:rPr>
          <w:sz w:val="24"/>
          <w:szCs w:val="24"/>
        </w:rPr>
        <w:t xml:space="preserve"> both Pharmacy Accessibility and Remoteness Index of Australia (</w:t>
      </w:r>
      <w:proofErr w:type="spellStart"/>
      <w:r w:rsidR="004C400B" w:rsidRPr="001E366B">
        <w:rPr>
          <w:sz w:val="24"/>
          <w:szCs w:val="24"/>
        </w:rPr>
        <w:t>PhARIA</w:t>
      </w:r>
      <w:proofErr w:type="spellEnd"/>
      <w:proofErr w:type="gramStart"/>
      <w:r w:rsidR="004C400B" w:rsidRPr="001E366B">
        <w:rPr>
          <w:sz w:val="24"/>
          <w:szCs w:val="24"/>
        </w:rPr>
        <w:t>)</w:t>
      </w:r>
      <w:r w:rsidR="00C8314B">
        <w:rPr>
          <w:sz w:val="24"/>
          <w:szCs w:val="24"/>
        </w:rPr>
        <w:t>[</w:t>
      </w:r>
      <w:proofErr w:type="gramEnd"/>
      <w:r w:rsidR="00C8314B">
        <w:rPr>
          <w:sz w:val="24"/>
          <w:szCs w:val="24"/>
        </w:rPr>
        <w:t>22]</w:t>
      </w:r>
      <w:r w:rsidR="004C400B" w:rsidRPr="001E366B">
        <w:rPr>
          <w:sz w:val="24"/>
          <w:szCs w:val="24"/>
        </w:rPr>
        <w:t xml:space="preserve"> and Modified Monash Model (MMM)</w:t>
      </w:r>
      <w:r w:rsidR="007474DE">
        <w:rPr>
          <w:sz w:val="24"/>
          <w:szCs w:val="24"/>
        </w:rPr>
        <w:t>[23]</w:t>
      </w:r>
      <w:r w:rsidR="004C400B" w:rsidRPr="001E366B">
        <w:rPr>
          <w:sz w:val="24"/>
          <w:szCs w:val="24"/>
        </w:rPr>
        <w:t xml:space="preserve">. </w:t>
      </w:r>
      <w:r w:rsidR="00C8314B">
        <w:rPr>
          <w:sz w:val="24"/>
          <w:szCs w:val="24"/>
        </w:rPr>
        <w:t xml:space="preserve">The former has since been replaced by the later for determination of rural pharmacy </w:t>
      </w:r>
      <w:proofErr w:type="gramStart"/>
      <w:r w:rsidR="00C8314B">
        <w:rPr>
          <w:sz w:val="24"/>
          <w:szCs w:val="24"/>
        </w:rPr>
        <w:t>support[</w:t>
      </w:r>
      <w:proofErr w:type="gramEnd"/>
      <w:r w:rsidR="00C8314B">
        <w:rPr>
          <w:sz w:val="24"/>
          <w:szCs w:val="24"/>
        </w:rPr>
        <w:t xml:space="preserve">22]. </w:t>
      </w:r>
      <w:r w:rsidR="004C400B" w:rsidRPr="001E366B">
        <w:rPr>
          <w:sz w:val="24"/>
          <w:szCs w:val="24"/>
        </w:rPr>
        <w:t>Nine respondents chose not to provide their address</w:t>
      </w:r>
      <w:r>
        <w:rPr>
          <w:sz w:val="24"/>
          <w:szCs w:val="24"/>
        </w:rPr>
        <w:t>,</w:t>
      </w:r>
      <w:r w:rsidR="004C400B" w:rsidRPr="001E366B">
        <w:rPr>
          <w:sz w:val="24"/>
          <w:szCs w:val="24"/>
        </w:rPr>
        <w:t xml:space="preserve"> so it was not pos</w:t>
      </w:r>
      <w:r w:rsidR="004452C4" w:rsidRPr="001E366B">
        <w:rPr>
          <w:sz w:val="24"/>
          <w:szCs w:val="24"/>
        </w:rPr>
        <w:t xml:space="preserve">sible to </w:t>
      </w:r>
      <w:r w:rsidR="00E220AA">
        <w:rPr>
          <w:sz w:val="24"/>
          <w:szCs w:val="24"/>
        </w:rPr>
        <w:t>determine</w:t>
      </w:r>
      <w:r w:rsidR="00E220AA" w:rsidRPr="001E366B">
        <w:rPr>
          <w:sz w:val="24"/>
          <w:szCs w:val="24"/>
        </w:rPr>
        <w:t xml:space="preserve"> </w:t>
      </w:r>
      <w:r w:rsidR="004452C4" w:rsidRPr="001E366B">
        <w:rPr>
          <w:sz w:val="24"/>
          <w:szCs w:val="24"/>
        </w:rPr>
        <w:t>their location</w:t>
      </w:r>
      <w:r w:rsidR="004C400B" w:rsidRPr="001E366B">
        <w:rPr>
          <w:sz w:val="24"/>
          <w:szCs w:val="24"/>
        </w:rPr>
        <w:t xml:space="preserve">. </w:t>
      </w:r>
      <w:r w:rsidR="00E220AA">
        <w:rPr>
          <w:sz w:val="24"/>
          <w:szCs w:val="24"/>
        </w:rPr>
        <w:t>O</w:t>
      </w:r>
      <w:r w:rsidR="004C400B" w:rsidRPr="001E366B">
        <w:rPr>
          <w:sz w:val="24"/>
          <w:szCs w:val="24"/>
        </w:rPr>
        <w:t xml:space="preserve">f the 16 different locations, eight fell into </w:t>
      </w:r>
      <w:r w:rsidR="001F511A">
        <w:rPr>
          <w:sz w:val="24"/>
          <w:szCs w:val="24"/>
        </w:rPr>
        <w:t xml:space="preserve">the superseded </w:t>
      </w:r>
      <w:proofErr w:type="spellStart"/>
      <w:r w:rsidR="004C400B" w:rsidRPr="001E366B">
        <w:rPr>
          <w:sz w:val="24"/>
          <w:szCs w:val="24"/>
        </w:rPr>
        <w:t>PhARIA</w:t>
      </w:r>
      <w:proofErr w:type="spellEnd"/>
      <w:r w:rsidR="004C400B" w:rsidRPr="001E366B">
        <w:rPr>
          <w:sz w:val="24"/>
          <w:szCs w:val="24"/>
        </w:rPr>
        <w:t xml:space="preserve"> 1 (High Accessible) (n=30 </w:t>
      </w:r>
      <w:r w:rsidR="004C400B" w:rsidRPr="001E366B">
        <w:rPr>
          <w:sz w:val="24"/>
          <w:szCs w:val="24"/>
        </w:rPr>
        <w:lastRenderedPageBreak/>
        <w:t xml:space="preserve">respondents), two were </w:t>
      </w:r>
      <w:proofErr w:type="spellStart"/>
      <w:r w:rsidR="004C400B" w:rsidRPr="001E366B">
        <w:rPr>
          <w:sz w:val="24"/>
          <w:szCs w:val="24"/>
        </w:rPr>
        <w:t>PhARIA</w:t>
      </w:r>
      <w:proofErr w:type="spellEnd"/>
      <w:r w:rsidR="004C400B" w:rsidRPr="001E366B">
        <w:rPr>
          <w:sz w:val="24"/>
          <w:szCs w:val="24"/>
        </w:rPr>
        <w:t xml:space="preserve"> 2 (n</w:t>
      </w:r>
      <w:r w:rsidR="004452C4" w:rsidRPr="001E366B">
        <w:rPr>
          <w:sz w:val="24"/>
          <w:szCs w:val="24"/>
        </w:rPr>
        <w:t xml:space="preserve">=4) </w:t>
      </w:r>
      <w:r w:rsidR="00E220AA">
        <w:rPr>
          <w:sz w:val="24"/>
          <w:szCs w:val="24"/>
        </w:rPr>
        <w:t>or</w:t>
      </w:r>
      <w:r w:rsidR="00E220AA" w:rsidRPr="001E366B">
        <w:rPr>
          <w:sz w:val="24"/>
          <w:szCs w:val="24"/>
        </w:rPr>
        <w:t xml:space="preserve"> </w:t>
      </w:r>
      <w:r w:rsidR="004452C4" w:rsidRPr="001E366B">
        <w:rPr>
          <w:sz w:val="24"/>
          <w:szCs w:val="24"/>
        </w:rPr>
        <w:t>3 (n=5) (Accessible,</w:t>
      </w:r>
      <w:r w:rsidR="004C400B" w:rsidRPr="001E366B">
        <w:rPr>
          <w:sz w:val="24"/>
          <w:szCs w:val="24"/>
        </w:rPr>
        <w:t xml:space="preserve"> Group A and Group B respectively), one </w:t>
      </w:r>
      <w:proofErr w:type="spellStart"/>
      <w:r w:rsidR="004C400B" w:rsidRPr="001E366B">
        <w:rPr>
          <w:sz w:val="24"/>
          <w:szCs w:val="24"/>
        </w:rPr>
        <w:t>PhARIA</w:t>
      </w:r>
      <w:proofErr w:type="spellEnd"/>
      <w:r w:rsidR="004C400B" w:rsidRPr="001E366B">
        <w:rPr>
          <w:sz w:val="24"/>
          <w:szCs w:val="24"/>
        </w:rPr>
        <w:t xml:space="preserve"> 4 (Moderately Accessible) (n=1) and one </w:t>
      </w:r>
      <w:proofErr w:type="spellStart"/>
      <w:r w:rsidR="004C400B" w:rsidRPr="001E366B">
        <w:rPr>
          <w:sz w:val="24"/>
          <w:szCs w:val="24"/>
        </w:rPr>
        <w:t>PhARIA</w:t>
      </w:r>
      <w:proofErr w:type="spellEnd"/>
      <w:r w:rsidR="004C400B" w:rsidRPr="001E366B">
        <w:rPr>
          <w:sz w:val="24"/>
          <w:szCs w:val="24"/>
        </w:rPr>
        <w:t xml:space="preserve"> 5 (Remote) (n=</w:t>
      </w:r>
      <w:proofErr w:type="gramStart"/>
      <w:r w:rsidR="004C400B" w:rsidRPr="001E366B">
        <w:rPr>
          <w:sz w:val="24"/>
          <w:szCs w:val="24"/>
        </w:rPr>
        <w:t>1)</w:t>
      </w:r>
      <w:r w:rsidR="009D0559">
        <w:rPr>
          <w:sz w:val="24"/>
          <w:szCs w:val="24"/>
        </w:rPr>
        <w:t>[</w:t>
      </w:r>
      <w:proofErr w:type="gramEnd"/>
      <w:r w:rsidR="009D0559">
        <w:rPr>
          <w:sz w:val="24"/>
          <w:szCs w:val="24"/>
        </w:rPr>
        <w:t>22]</w:t>
      </w:r>
      <w:r w:rsidR="004C400B" w:rsidRPr="001E366B">
        <w:rPr>
          <w:sz w:val="24"/>
          <w:szCs w:val="24"/>
        </w:rPr>
        <w:t xml:space="preserve">. In the MMM classification, no locations fell into the </w:t>
      </w:r>
      <w:r w:rsidR="004452C4" w:rsidRPr="001E366B">
        <w:rPr>
          <w:sz w:val="24"/>
          <w:szCs w:val="24"/>
        </w:rPr>
        <w:t xml:space="preserve">two </w:t>
      </w:r>
      <w:r w:rsidR="004C400B" w:rsidRPr="001E366B">
        <w:rPr>
          <w:sz w:val="24"/>
          <w:szCs w:val="24"/>
        </w:rPr>
        <w:t>lowest, most accessible</w:t>
      </w:r>
      <w:r w:rsidR="004452C4" w:rsidRPr="001E366B">
        <w:rPr>
          <w:sz w:val="24"/>
          <w:szCs w:val="24"/>
        </w:rPr>
        <w:t>, or two highest, most remote,</w:t>
      </w:r>
      <w:r w:rsidR="004C400B" w:rsidRPr="001E366B">
        <w:rPr>
          <w:sz w:val="24"/>
          <w:szCs w:val="24"/>
        </w:rPr>
        <w:t xml:space="preserve"> categories</w:t>
      </w:r>
      <w:r w:rsidR="009D0559">
        <w:rPr>
          <w:sz w:val="24"/>
          <w:szCs w:val="24"/>
          <w:vertAlign w:val="superscript"/>
        </w:rPr>
        <w:t xml:space="preserve"> </w:t>
      </w:r>
      <w:r w:rsidR="009D0559">
        <w:rPr>
          <w:sz w:val="24"/>
          <w:szCs w:val="24"/>
        </w:rPr>
        <w:t>and</w:t>
      </w:r>
      <w:r w:rsidR="004452C4" w:rsidRPr="001E366B">
        <w:rPr>
          <w:sz w:val="24"/>
          <w:szCs w:val="24"/>
        </w:rPr>
        <w:t xml:space="preserve"> </w:t>
      </w:r>
      <w:r w:rsidR="009D0559">
        <w:rPr>
          <w:sz w:val="24"/>
          <w:szCs w:val="24"/>
        </w:rPr>
        <w:t>t</w:t>
      </w:r>
      <w:r w:rsidR="004C400B" w:rsidRPr="001E366B">
        <w:rPr>
          <w:sz w:val="24"/>
          <w:szCs w:val="24"/>
        </w:rPr>
        <w:t>en locations were classified as MMM 3 (n=35 respondents) and six as MMM 5 (n=</w:t>
      </w:r>
      <w:proofErr w:type="gramStart"/>
      <w:r w:rsidR="004C400B" w:rsidRPr="001E366B">
        <w:rPr>
          <w:sz w:val="24"/>
          <w:szCs w:val="24"/>
        </w:rPr>
        <w:t>6)</w:t>
      </w:r>
      <w:r w:rsidR="009D0559">
        <w:rPr>
          <w:sz w:val="24"/>
          <w:szCs w:val="24"/>
        </w:rPr>
        <w:t>[</w:t>
      </w:r>
      <w:proofErr w:type="gramEnd"/>
      <w:r w:rsidR="009D0559">
        <w:rPr>
          <w:sz w:val="24"/>
          <w:szCs w:val="24"/>
        </w:rPr>
        <w:t>23]</w:t>
      </w:r>
      <w:r w:rsidR="004C400B" w:rsidRPr="001E366B">
        <w:rPr>
          <w:sz w:val="24"/>
          <w:szCs w:val="24"/>
        </w:rPr>
        <w:t>.</w:t>
      </w:r>
      <w:r w:rsidDel="004430C7">
        <w:rPr>
          <w:sz w:val="24"/>
          <w:szCs w:val="24"/>
          <w:vertAlign w:val="superscript"/>
        </w:rPr>
        <w:t xml:space="preserve"> </w:t>
      </w:r>
    </w:p>
    <w:p w14:paraId="2C41F26B" w14:textId="39BB18AB" w:rsidR="00495578" w:rsidRPr="001E366B" w:rsidRDefault="00D162AE" w:rsidP="087094F4">
      <w:pPr>
        <w:spacing w:after="120" w:line="360" w:lineRule="auto"/>
        <w:rPr>
          <w:sz w:val="24"/>
          <w:szCs w:val="24"/>
        </w:rPr>
      </w:pPr>
      <w:r w:rsidRPr="001E366B">
        <w:rPr>
          <w:sz w:val="24"/>
          <w:szCs w:val="24"/>
        </w:rPr>
        <w:t>Respondents estimate</w:t>
      </w:r>
      <w:r w:rsidR="004430C7">
        <w:rPr>
          <w:sz w:val="24"/>
          <w:szCs w:val="24"/>
        </w:rPr>
        <w:t>d</w:t>
      </w:r>
      <w:r w:rsidRPr="001E366B">
        <w:rPr>
          <w:sz w:val="24"/>
          <w:szCs w:val="24"/>
        </w:rPr>
        <w:t xml:space="preserve"> </w:t>
      </w:r>
      <w:r w:rsidR="00D02C7E">
        <w:rPr>
          <w:sz w:val="24"/>
          <w:szCs w:val="24"/>
        </w:rPr>
        <w:t xml:space="preserve">their </w:t>
      </w:r>
      <w:r w:rsidRPr="001E366B">
        <w:rPr>
          <w:sz w:val="24"/>
          <w:szCs w:val="24"/>
        </w:rPr>
        <w:t xml:space="preserve">average hours worked each week. </w:t>
      </w:r>
      <w:r w:rsidR="00661310" w:rsidRPr="001E366B">
        <w:rPr>
          <w:sz w:val="24"/>
          <w:szCs w:val="24"/>
        </w:rPr>
        <w:t xml:space="preserve">With two </w:t>
      </w:r>
      <w:r w:rsidR="004430C7" w:rsidRPr="001E366B">
        <w:rPr>
          <w:sz w:val="24"/>
          <w:szCs w:val="24"/>
        </w:rPr>
        <w:t>missing</w:t>
      </w:r>
      <w:r w:rsidR="00661310" w:rsidRPr="001E366B">
        <w:rPr>
          <w:sz w:val="24"/>
          <w:szCs w:val="24"/>
        </w:rPr>
        <w:t xml:space="preserve">, </w:t>
      </w:r>
      <w:r w:rsidR="00AB534C" w:rsidRPr="001E366B">
        <w:rPr>
          <w:sz w:val="24"/>
          <w:szCs w:val="24"/>
        </w:rPr>
        <w:t xml:space="preserve">responses were negatively skewed, a quarter of respondents working 30 or less hours per week. </w:t>
      </w:r>
      <w:r w:rsidR="004430C7">
        <w:rPr>
          <w:sz w:val="24"/>
          <w:szCs w:val="24"/>
        </w:rPr>
        <w:t>With</w:t>
      </w:r>
      <w:r w:rsidR="004430C7" w:rsidRPr="001E366B">
        <w:rPr>
          <w:sz w:val="24"/>
          <w:szCs w:val="24"/>
        </w:rPr>
        <w:t xml:space="preserve"> </w:t>
      </w:r>
      <w:r w:rsidR="004430C7">
        <w:rPr>
          <w:sz w:val="24"/>
          <w:szCs w:val="24"/>
        </w:rPr>
        <w:t xml:space="preserve">a </w:t>
      </w:r>
      <w:r w:rsidR="00AB534C" w:rsidRPr="001E366B">
        <w:rPr>
          <w:sz w:val="24"/>
          <w:szCs w:val="24"/>
        </w:rPr>
        <w:t xml:space="preserve">mean </w:t>
      </w:r>
      <w:r w:rsidR="004430C7">
        <w:rPr>
          <w:sz w:val="24"/>
          <w:szCs w:val="24"/>
        </w:rPr>
        <w:t>of</w:t>
      </w:r>
      <w:r w:rsidR="004430C7" w:rsidRPr="001E366B">
        <w:rPr>
          <w:sz w:val="24"/>
          <w:szCs w:val="24"/>
        </w:rPr>
        <w:t xml:space="preserve"> </w:t>
      </w:r>
      <w:r w:rsidR="00AB534C" w:rsidRPr="001E366B">
        <w:rPr>
          <w:sz w:val="24"/>
          <w:szCs w:val="24"/>
        </w:rPr>
        <w:t>35</w:t>
      </w:r>
      <w:r w:rsidR="007C717A" w:rsidRPr="001E366B">
        <w:rPr>
          <w:sz w:val="24"/>
          <w:szCs w:val="24"/>
        </w:rPr>
        <w:t>.4</w:t>
      </w:r>
      <w:r w:rsidR="00AB534C" w:rsidRPr="001E366B">
        <w:rPr>
          <w:sz w:val="24"/>
          <w:szCs w:val="24"/>
        </w:rPr>
        <w:t xml:space="preserve"> hours and median </w:t>
      </w:r>
      <w:r w:rsidR="004430C7">
        <w:rPr>
          <w:sz w:val="24"/>
          <w:szCs w:val="24"/>
        </w:rPr>
        <w:t>of</w:t>
      </w:r>
      <w:r w:rsidR="004430C7" w:rsidRPr="001E366B">
        <w:rPr>
          <w:sz w:val="24"/>
          <w:szCs w:val="24"/>
        </w:rPr>
        <w:t xml:space="preserve"> </w:t>
      </w:r>
      <w:r w:rsidR="00AB534C" w:rsidRPr="001E366B">
        <w:rPr>
          <w:sz w:val="24"/>
          <w:szCs w:val="24"/>
        </w:rPr>
        <w:t>40</w:t>
      </w:r>
      <w:r w:rsidR="00D02C7E">
        <w:rPr>
          <w:sz w:val="24"/>
          <w:szCs w:val="24"/>
        </w:rPr>
        <w:t>.0</w:t>
      </w:r>
      <w:r w:rsidR="00AB534C" w:rsidRPr="001E366B">
        <w:rPr>
          <w:sz w:val="24"/>
          <w:szCs w:val="24"/>
        </w:rPr>
        <w:t xml:space="preserve"> hours, </w:t>
      </w:r>
      <w:r w:rsidR="00BA734D" w:rsidRPr="001E366B">
        <w:rPr>
          <w:sz w:val="24"/>
          <w:szCs w:val="24"/>
        </w:rPr>
        <w:t>67</w:t>
      </w:r>
      <w:r w:rsidR="00AB534C" w:rsidRPr="001E366B">
        <w:rPr>
          <w:sz w:val="24"/>
          <w:szCs w:val="24"/>
        </w:rPr>
        <w:t>% of the respondents worked 36 or more hours per week.</w:t>
      </w:r>
      <w:r w:rsidR="00422D1A" w:rsidRPr="001E366B">
        <w:rPr>
          <w:sz w:val="24"/>
          <w:szCs w:val="24"/>
        </w:rPr>
        <w:t xml:space="preserve"> </w:t>
      </w:r>
      <w:r w:rsidR="00AB534C" w:rsidRPr="001E366B">
        <w:rPr>
          <w:sz w:val="24"/>
          <w:szCs w:val="24"/>
        </w:rPr>
        <w:t>T</w:t>
      </w:r>
      <w:r w:rsidRPr="001E366B">
        <w:rPr>
          <w:sz w:val="24"/>
          <w:szCs w:val="24"/>
        </w:rPr>
        <w:t>he results are shown in Figure 2</w:t>
      </w:r>
      <w:r w:rsidR="0087089D" w:rsidRPr="001E366B">
        <w:rPr>
          <w:sz w:val="24"/>
          <w:szCs w:val="24"/>
        </w:rPr>
        <w:t xml:space="preserve">, with </w:t>
      </w:r>
      <w:r w:rsidR="004430C7">
        <w:rPr>
          <w:sz w:val="24"/>
          <w:szCs w:val="24"/>
        </w:rPr>
        <w:t xml:space="preserve">separate </w:t>
      </w:r>
      <w:r w:rsidR="0087089D" w:rsidRPr="001E366B">
        <w:rPr>
          <w:sz w:val="24"/>
          <w:szCs w:val="24"/>
        </w:rPr>
        <w:t>distributions for male</w:t>
      </w:r>
      <w:r w:rsidR="00E220AA">
        <w:rPr>
          <w:sz w:val="24"/>
          <w:szCs w:val="24"/>
        </w:rPr>
        <w:t>s</w:t>
      </w:r>
      <w:r w:rsidR="0087089D" w:rsidRPr="001E366B">
        <w:rPr>
          <w:sz w:val="24"/>
          <w:szCs w:val="24"/>
        </w:rPr>
        <w:t xml:space="preserve"> and female</w:t>
      </w:r>
      <w:r w:rsidR="004430C7">
        <w:rPr>
          <w:sz w:val="24"/>
          <w:szCs w:val="24"/>
        </w:rPr>
        <w:t>s</w:t>
      </w:r>
      <w:r w:rsidR="00422D1A" w:rsidRPr="001E366B">
        <w:rPr>
          <w:sz w:val="24"/>
          <w:szCs w:val="24"/>
        </w:rPr>
        <w:t xml:space="preserve">. </w:t>
      </w:r>
      <w:r w:rsidR="004430C7">
        <w:rPr>
          <w:sz w:val="24"/>
          <w:szCs w:val="24"/>
        </w:rPr>
        <w:t>T</w:t>
      </w:r>
      <w:r w:rsidR="004430C7" w:rsidRPr="001E366B">
        <w:rPr>
          <w:sz w:val="24"/>
          <w:szCs w:val="24"/>
        </w:rPr>
        <w:t xml:space="preserve">hough almost twice as many female as male respondents </w:t>
      </w:r>
      <w:r w:rsidR="004430C7">
        <w:rPr>
          <w:sz w:val="24"/>
          <w:szCs w:val="24"/>
        </w:rPr>
        <w:t>worked</w:t>
      </w:r>
      <w:r w:rsidR="004430C7" w:rsidRPr="001E366B">
        <w:rPr>
          <w:sz w:val="24"/>
          <w:szCs w:val="24"/>
        </w:rPr>
        <w:t xml:space="preserve"> less than 20 hours per week</w:t>
      </w:r>
      <w:r w:rsidR="004430C7">
        <w:rPr>
          <w:sz w:val="24"/>
          <w:szCs w:val="24"/>
        </w:rPr>
        <w:t>,</w:t>
      </w:r>
      <w:r w:rsidR="004430C7" w:rsidRPr="001E366B">
        <w:rPr>
          <w:sz w:val="24"/>
          <w:szCs w:val="24"/>
        </w:rPr>
        <w:t xml:space="preserve"> </w:t>
      </w:r>
      <w:r w:rsidR="004430C7">
        <w:rPr>
          <w:sz w:val="24"/>
          <w:szCs w:val="24"/>
        </w:rPr>
        <w:t>t</w:t>
      </w:r>
      <w:r w:rsidR="00422D1A" w:rsidRPr="001E366B">
        <w:rPr>
          <w:sz w:val="24"/>
          <w:szCs w:val="24"/>
        </w:rPr>
        <w:t>here was no difference in the mean</w:t>
      </w:r>
      <w:r w:rsidR="00E220AA">
        <w:rPr>
          <w:sz w:val="24"/>
          <w:szCs w:val="24"/>
        </w:rPr>
        <w:t>s</w:t>
      </w:r>
      <w:r w:rsidR="00D02C7E">
        <w:rPr>
          <w:sz w:val="24"/>
          <w:szCs w:val="24"/>
        </w:rPr>
        <w:t xml:space="preserve"> (p=0.797, Kruskal-Wallis)</w:t>
      </w:r>
      <w:r w:rsidR="00422D1A" w:rsidRPr="001E366B">
        <w:rPr>
          <w:sz w:val="24"/>
          <w:szCs w:val="24"/>
        </w:rPr>
        <w:t xml:space="preserve">. </w:t>
      </w:r>
      <w:r w:rsidR="004430C7">
        <w:rPr>
          <w:sz w:val="24"/>
          <w:szCs w:val="24"/>
        </w:rPr>
        <w:t>T</w:t>
      </w:r>
      <w:r w:rsidR="0015610C" w:rsidRPr="001E366B">
        <w:rPr>
          <w:sz w:val="24"/>
          <w:szCs w:val="24"/>
        </w:rPr>
        <w:t xml:space="preserve">he average weekly hours </w:t>
      </w:r>
      <w:r w:rsidR="009C7AB4" w:rsidRPr="001E366B">
        <w:rPr>
          <w:sz w:val="24"/>
          <w:szCs w:val="24"/>
        </w:rPr>
        <w:t>reported by owner-</w:t>
      </w:r>
      <w:r w:rsidR="0015610C" w:rsidRPr="001E366B">
        <w:rPr>
          <w:sz w:val="24"/>
          <w:szCs w:val="24"/>
        </w:rPr>
        <w:t>manager pharmacists was 33.9 hours</w:t>
      </w:r>
      <w:r w:rsidR="004430C7">
        <w:rPr>
          <w:sz w:val="24"/>
          <w:szCs w:val="24"/>
        </w:rPr>
        <w:t>,</w:t>
      </w:r>
      <w:r w:rsidR="0015610C" w:rsidRPr="001E366B">
        <w:rPr>
          <w:sz w:val="24"/>
          <w:szCs w:val="24"/>
        </w:rPr>
        <w:t xml:space="preserve"> compared to 37.5 hours for other</w:t>
      </w:r>
      <w:r w:rsidR="0003557D" w:rsidRPr="001E366B">
        <w:rPr>
          <w:sz w:val="24"/>
          <w:szCs w:val="24"/>
        </w:rPr>
        <w:t xml:space="preserve"> </w:t>
      </w:r>
      <w:r w:rsidR="00AB534C" w:rsidRPr="001E366B">
        <w:rPr>
          <w:sz w:val="24"/>
          <w:szCs w:val="24"/>
        </w:rPr>
        <w:t>community pharmacists (p=0.222</w:t>
      </w:r>
      <w:r w:rsidR="0015610C" w:rsidRPr="001E366B">
        <w:rPr>
          <w:sz w:val="24"/>
          <w:szCs w:val="24"/>
        </w:rPr>
        <w:t xml:space="preserve">, </w:t>
      </w:r>
      <w:r w:rsidR="00AB534C" w:rsidRPr="001E366B">
        <w:rPr>
          <w:sz w:val="24"/>
          <w:szCs w:val="24"/>
        </w:rPr>
        <w:t>Kruskal-Wallis Test</w:t>
      </w:r>
      <w:r w:rsidR="00814DAA" w:rsidRPr="001E366B">
        <w:rPr>
          <w:sz w:val="24"/>
          <w:szCs w:val="24"/>
        </w:rPr>
        <w:t>).</w:t>
      </w:r>
      <w:r w:rsidR="005C7A21" w:rsidRPr="001E366B">
        <w:rPr>
          <w:sz w:val="24"/>
          <w:szCs w:val="24"/>
        </w:rPr>
        <w:t xml:space="preserve"> </w:t>
      </w:r>
      <w:r w:rsidR="004430C7">
        <w:rPr>
          <w:sz w:val="24"/>
          <w:szCs w:val="24"/>
        </w:rPr>
        <w:t xml:space="preserve">Some </w:t>
      </w:r>
      <w:r w:rsidR="005C7A21" w:rsidRPr="001E366B">
        <w:rPr>
          <w:sz w:val="24"/>
          <w:szCs w:val="24"/>
        </w:rPr>
        <w:t>48% of respondents perceived a need to increase the number of pharmacists where they worked</w:t>
      </w:r>
      <w:r w:rsidR="6771C99A" w:rsidRPr="001E366B">
        <w:rPr>
          <w:sz w:val="24"/>
          <w:szCs w:val="24"/>
        </w:rPr>
        <w:t>,</w:t>
      </w:r>
      <w:r w:rsidR="005C7A21" w:rsidRPr="001E366B">
        <w:rPr>
          <w:sz w:val="24"/>
          <w:szCs w:val="24"/>
        </w:rPr>
        <w:t xml:space="preserve"> but only 4% </w:t>
      </w:r>
      <w:r w:rsidR="004430C7">
        <w:rPr>
          <w:sz w:val="24"/>
          <w:szCs w:val="24"/>
        </w:rPr>
        <w:t xml:space="preserve">wanted </w:t>
      </w:r>
      <w:r w:rsidR="005C7A21" w:rsidRPr="001E366B">
        <w:rPr>
          <w:sz w:val="24"/>
          <w:szCs w:val="24"/>
        </w:rPr>
        <w:t>to increase pharmacists’ hours.</w:t>
      </w:r>
      <w:r w:rsidR="00E0540D" w:rsidRPr="001E366B">
        <w:rPr>
          <w:sz w:val="24"/>
          <w:szCs w:val="24"/>
        </w:rPr>
        <w:t xml:space="preserve"> </w:t>
      </w:r>
      <w:r w:rsidR="004430C7">
        <w:rPr>
          <w:sz w:val="24"/>
          <w:szCs w:val="24"/>
        </w:rPr>
        <w:t>O</w:t>
      </w:r>
      <w:r w:rsidR="00564746" w:rsidRPr="001E366B">
        <w:rPr>
          <w:sz w:val="24"/>
          <w:szCs w:val="24"/>
        </w:rPr>
        <w:t xml:space="preserve">f </w:t>
      </w:r>
      <w:r w:rsidR="00E655B4" w:rsidRPr="001E366B">
        <w:rPr>
          <w:sz w:val="24"/>
          <w:szCs w:val="24"/>
        </w:rPr>
        <w:t>the</w:t>
      </w:r>
      <w:r w:rsidR="009C7AB4" w:rsidRPr="001E366B">
        <w:rPr>
          <w:sz w:val="24"/>
          <w:szCs w:val="24"/>
        </w:rPr>
        <w:t xml:space="preserve"> 22 owner-</w:t>
      </w:r>
      <w:r w:rsidR="00564746" w:rsidRPr="001E366B">
        <w:rPr>
          <w:sz w:val="24"/>
          <w:szCs w:val="24"/>
        </w:rPr>
        <w:t>managers</w:t>
      </w:r>
      <w:r w:rsidR="00D02C7E">
        <w:rPr>
          <w:sz w:val="24"/>
          <w:szCs w:val="24"/>
        </w:rPr>
        <w:t>,</w:t>
      </w:r>
      <w:r w:rsidR="00564746" w:rsidRPr="001E366B">
        <w:rPr>
          <w:sz w:val="24"/>
          <w:szCs w:val="24"/>
        </w:rPr>
        <w:t xml:space="preserve"> </w:t>
      </w:r>
      <w:r w:rsidR="00D02C7E">
        <w:rPr>
          <w:sz w:val="24"/>
          <w:szCs w:val="24"/>
        </w:rPr>
        <w:t>eight</w:t>
      </w:r>
      <w:r w:rsidR="004430C7" w:rsidRPr="001E366B">
        <w:rPr>
          <w:sz w:val="24"/>
          <w:szCs w:val="24"/>
        </w:rPr>
        <w:t xml:space="preserve"> (36%) said they would employ overseas trained pharmacist</w:t>
      </w:r>
      <w:r w:rsidR="004430C7">
        <w:rPr>
          <w:sz w:val="24"/>
          <w:szCs w:val="24"/>
        </w:rPr>
        <w:t>s</w:t>
      </w:r>
      <w:r w:rsidR="004430C7" w:rsidRPr="001E366B">
        <w:rPr>
          <w:sz w:val="24"/>
          <w:szCs w:val="24"/>
        </w:rPr>
        <w:t xml:space="preserve"> and </w:t>
      </w:r>
      <w:r w:rsidR="00D02C7E">
        <w:rPr>
          <w:sz w:val="24"/>
          <w:szCs w:val="24"/>
        </w:rPr>
        <w:t>two</w:t>
      </w:r>
      <w:r w:rsidR="004430C7" w:rsidRPr="001E366B">
        <w:rPr>
          <w:sz w:val="24"/>
          <w:szCs w:val="24"/>
        </w:rPr>
        <w:t xml:space="preserve"> were ‘unsure’</w:t>
      </w:r>
      <w:r w:rsidR="00754C09">
        <w:rPr>
          <w:sz w:val="24"/>
          <w:szCs w:val="24"/>
        </w:rPr>
        <w:t xml:space="preserve">, while </w:t>
      </w:r>
      <w:r w:rsidR="004C400B" w:rsidRPr="001E366B">
        <w:rPr>
          <w:sz w:val="24"/>
          <w:szCs w:val="24"/>
        </w:rPr>
        <w:t>12</w:t>
      </w:r>
      <w:r w:rsidR="00564746" w:rsidRPr="001E366B">
        <w:rPr>
          <w:sz w:val="24"/>
          <w:szCs w:val="24"/>
        </w:rPr>
        <w:t xml:space="preserve"> </w:t>
      </w:r>
      <w:r w:rsidR="004C400B" w:rsidRPr="001E366B">
        <w:rPr>
          <w:sz w:val="24"/>
          <w:szCs w:val="24"/>
        </w:rPr>
        <w:t xml:space="preserve">(55%) </w:t>
      </w:r>
      <w:r w:rsidR="00564746" w:rsidRPr="001E366B">
        <w:rPr>
          <w:sz w:val="24"/>
          <w:szCs w:val="24"/>
        </w:rPr>
        <w:t>did not respond</w:t>
      </w:r>
      <w:r w:rsidR="004C400B" w:rsidRPr="001E366B">
        <w:rPr>
          <w:sz w:val="24"/>
          <w:szCs w:val="24"/>
        </w:rPr>
        <w:t>.</w:t>
      </w:r>
    </w:p>
    <w:p w14:paraId="6FCB5520" w14:textId="7574A11B" w:rsidR="00185E95" w:rsidRPr="001E366B" w:rsidRDefault="00644F9B" w:rsidP="087094F4">
      <w:pPr>
        <w:spacing w:after="120" w:line="360" w:lineRule="auto"/>
        <w:rPr>
          <w:sz w:val="24"/>
          <w:szCs w:val="24"/>
        </w:rPr>
      </w:pPr>
      <w:r w:rsidRPr="001E366B">
        <w:rPr>
          <w:sz w:val="24"/>
          <w:szCs w:val="24"/>
        </w:rPr>
        <w:t xml:space="preserve">While </w:t>
      </w:r>
      <w:r w:rsidR="00AE1E83" w:rsidRPr="001E366B">
        <w:rPr>
          <w:sz w:val="24"/>
          <w:szCs w:val="24"/>
        </w:rPr>
        <w:t xml:space="preserve">27 </w:t>
      </w:r>
      <w:r w:rsidRPr="001E366B">
        <w:rPr>
          <w:sz w:val="24"/>
          <w:szCs w:val="24"/>
        </w:rPr>
        <w:t xml:space="preserve">respondents </w:t>
      </w:r>
      <w:r w:rsidR="00AE1E83" w:rsidRPr="001E366B">
        <w:rPr>
          <w:sz w:val="24"/>
          <w:szCs w:val="24"/>
        </w:rPr>
        <w:t xml:space="preserve">(54%) </w:t>
      </w:r>
      <w:r w:rsidR="00185E95" w:rsidRPr="001E366B">
        <w:rPr>
          <w:sz w:val="24"/>
          <w:szCs w:val="24"/>
        </w:rPr>
        <w:t xml:space="preserve">indicated </w:t>
      </w:r>
      <w:r w:rsidR="00AE1E83" w:rsidRPr="001E366B">
        <w:rPr>
          <w:sz w:val="24"/>
          <w:szCs w:val="24"/>
        </w:rPr>
        <w:t xml:space="preserve">that their role </w:t>
      </w:r>
      <w:r w:rsidR="00DD6B19" w:rsidRPr="001E366B">
        <w:rPr>
          <w:sz w:val="24"/>
          <w:szCs w:val="24"/>
        </w:rPr>
        <w:t>include</w:t>
      </w:r>
      <w:r w:rsidR="0DF30729" w:rsidRPr="001E366B">
        <w:rPr>
          <w:sz w:val="24"/>
          <w:szCs w:val="24"/>
        </w:rPr>
        <w:t>d</w:t>
      </w:r>
      <w:r w:rsidR="00AE1E83" w:rsidRPr="001E366B">
        <w:rPr>
          <w:sz w:val="24"/>
          <w:szCs w:val="24"/>
        </w:rPr>
        <w:t xml:space="preserve"> supervision of </w:t>
      </w:r>
      <w:r w:rsidRPr="001E366B">
        <w:rPr>
          <w:sz w:val="24"/>
          <w:szCs w:val="24"/>
        </w:rPr>
        <w:t>students on placement</w:t>
      </w:r>
      <w:r w:rsidR="001C4B06" w:rsidRPr="001E366B">
        <w:rPr>
          <w:sz w:val="24"/>
          <w:szCs w:val="24"/>
        </w:rPr>
        <w:t>, 64% indicated that the</w:t>
      </w:r>
      <w:r w:rsidR="00AE1E83" w:rsidRPr="001E366B">
        <w:rPr>
          <w:sz w:val="24"/>
          <w:szCs w:val="24"/>
        </w:rPr>
        <w:t xml:space="preserve"> site w</w:t>
      </w:r>
      <w:r w:rsidR="00293677" w:rsidRPr="001E366B">
        <w:rPr>
          <w:sz w:val="24"/>
          <w:szCs w:val="24"/>
        </w:rPr>
        <w:t>here they work provide</w:t>
      </w:r>
      <w:r w:rsidR="2C993B57" w:rsidRPr="001E366B">
        <w:rPr>
          <w:sz w:val="24"/>
          <w:szCs w:val="24"/>
        </w:rPr>
        <w:t>d</w:t>
      </w:r>
      <w:r w:rsidR="00293677" w:rsidRPr="001E366B">
        <w:rPr>
          <w:sz w:val="24"/>
          <w:szCs w:val="24"/>
        </w:rPr>
        <w:t xml:space="preserve"> </w:t>
      </w:r>
      <w:r w:rsidR="00AE1E83" w:rsidRPr="001E366B">
        <w:rPr>
          <w:sz w:val="24"/>
          <w:szCs w:val="24"/>
        </w:rPr>
        <w:t>placement opportunities</w:t>
      </w:r>
      <w:r w:rsidR="001C4B06" w:rsidRPr="001E366B">
        <w:rPr>
          <w:sz w:val="24"/>
          <w:szCs w:val="24"/>
        </w:rPr>
        <w:t xml:space="preserve">. </w:t>
      </w:r>
      <w:r w:rsidR="00293677" w:rsidRPr="001E366B">
        <w:rPr>
          <w:sz w:val="24"/>
          <w:szCs w:val="24"/>
        </w:rPr>
        <w:t xml:space="preserve">Of the 23 respondents that did not perform student supervision, </w:t>
      </w:r>
      <w:r w:rsidR="00E220AA">
        <w:rPr>
          <w:sz w:val="24"/>
          <w:szCs w:val="24"/>
        </w:rPr>
        <w:t>five</w:t>
      </w:r>
      <w:r w:rsidR="00E220AA" w:rsidRPr="001E366B">
        <w:rPr>
          <w:sz w:val="24"/>
          <w:szCs w:val="24"/>
        </w:rPr>
        <w:t xml:space="preserve"> </w:t>
      </w:r>
      <w:r w:rsidR="00754C09">
        <w:rPr>
          <w:sz w:val="24"/>
          <w:szCs w:val="24"/>
        </w:rPr>
        <w:t xml:space="preserve">said </w:t>
      </w:r>
      <w:r w:rsidR="00293677" w:rsidRPr="001E366B">
        <w:rPr>
          <w:sz w:val="24"/>
          <w:szCs w:val="24"/>
        </w:rPr>
        <w:t xml:space="preserve">they would be interested in doing so and that there was potential for student placements where they worked. </w:t>
      </w:r>
      <w:r w:rsidR="008A1F7D" w:rsidRPr="001E366B">
        <w:rPr>
          <w:sz w:val="24"/>
          <w:szCs w:val="24"/>
        </w:rPr>
        <w:t>Providing student placements was associated with more</w:t>
      </w:r>
      <w:r w:rsidR="006A4470" w:rsidRPr="001E366B">
        <w:rPr>
          <w:sz w:val="24"/>
          <w:szCs w:val="24"/>
        </w:rPr>
        <w:t xml:space="preserve"> accessible locations (p=0.024</w:t>
      </w:r>
      <w:r w:rsidR="008A1F7D" w:rsidRPr="001E366B">
        <w:rPr>
          <w:sz w:val="24"/>
          <w:szCs w:val="24"/>
        </w:rPr>
        <w:t xml:space="preserve">, </w:t>
      </w:r>
      <w:r w:rsidR="006A4470" w:rsidRPr="001E366B">
        <w:rPr>
          <w:sz w:val="24"/>
          <w:szCs w:val="24"/>
        </w:rPr>
        <w:t>Fisher’s Exact</w:t>
      </w:r>
      <w:r w:rsidR="008A1F7D" w:rsidRPr="001E366B">
        <w:rPr>
          <w:sz w:val="24"/>
          <w:szCs w:val="24"/>
        </w:rPr>
        <w:t xml:space="preserve"> Test), although four of the six respondents in MMM5 locations regarded their </w:t>
      </w:r>
      <w:r w:rsidR="00FBD784" w:rsidRPr="001E366B">
        <w:rPr>
          <w:sz w:val="24"/>
          <w:szCs w:val="24"/>
        </w:rPr>
        <w:t>workplace</w:t>
      </w:r>
      <w:r w:rsidR="008A1F7D" w:rsidRPr="001E366B">
        <w:rPr>
          <w:sz w:val="24"/>
          <w:szCs w:val="24"/>
        </w:rPr>
        <w:t xml:space="preserve"> as a </w:t>
      </w:r>
      <w:r w:rsidR="2C0252E9" w:rsidRPr="001E366B">
        <w:rPr>
          <w:sz w:val="24"/>
          <w:szCs w:val="24"/>
        </w:rPr>
        <w:t xml:space="preserve">potential </w:t>
      </w:r>
      <w:r w:rsidR="00754C09">
        <w:rPr>
          <w:sz w:val="24"/>
          <w:szCs w:val="24"/>
        </w:rPr>
        <w:t>student placement</w:t>
      </w:r>
      <w:r w:rsidR="00754C09" w:rsidRPr="001E366B">
        <w:rPr>
          <w:sz w:val="24"/>
          <w:szCs w:val="24"/>
        </w:rPr>
        <w:t xml:space="preserve"> </w:t>
      </w:r>
      <w:r w:rsidR="008A1F7D" w:rsidRPr="001E366B">
        <w:rPr>
          <w:sz w:val="24"/>
          <w:szCs w:val="24"/>
        </w:rPr>
        <w:t xml:space="preserve">site. </w:t>
      </w:r>
      <w:r w:rsidR="006A4470" w:rsidRPr="001E366B">
        <w:rPr>
          <w:sz w:val="24"/>
          <w:szCs w:val="24"/>
        </w:rPr>
        <w:t>The same association was not found for intern supervision (p</w:t>
      </w:r>
      <w:r w:rsidR="00754C09">
        <w:rPr>
          <w:sz w:val="24"/>
          <w:szCs w:val="24"/>
        </w:rPr>
        <w:t>=</w:t>
      </w:r>
      <w:r w:rsidR="006A4470" w:rsidRPr="001E366B">
        <w:rPr>
          <w:sz w:val="24"/>
          <w:szCs w:val="24"/>
        </w:rPr>
        <w:t>0.333, Fisher’s Exact Test)</w:t>
      </w:r>
      <w:r w:rsidR="009C7AB4" w:rsidRPr="001E366B">
        <w:rPr>
          <w:sz w:val="24"/>
          <w:szCs w:val="24"/>
        </w:rPr>
        <w:t>, however</w:t>
      </w:r>
      <w:r w:rsidR="006A4470" w:rsidRPr="001E366B">
        <w:rPr>
          <w:sz w:val="24"/>
          <w:szCs w:val="24"/>
        </w:rPr>
        <w:t xml:space="preserve">. </w:t>
      </w:r>
      <w:r w:rsidR="008A1F7D" w:rsidRPr="001E366B">
        <w:rPr>
          <w:sz w:val="24"/>
          <w:szCs w:val="24"/>
        </w:rPr>
        <w:t xml:space="preserve">Excluding the </w:t>
      </w:r>
      <w:r w:rsidR="00824EB5" w:rsidRPr="001E366B">
        <w:rPr>
          <w:sz w:val="24"/>
          <w:szCs w:val="24"/>
        </w:rPr>
        <w:t xml:space="preserve">intern, </w:t>
      </w:r>
      <w:r w:rsidR="007A4A77" w:rsidRPr="001E366B">
        <w:rPr>
          <w:sz w:val="24"/>
          <w:szCs w:val="24"/>
        </w:rPr>
        <w:t>23</w:t>
      </w:r>
      <w:r w:rsidR="001C4B06" w:rsidRPr="001E366B">
        <w:rPr>
          <w:sz w:val="24"/>
          <w:szCs w:val="24"/>
        </w:rPr>
        <w:t xml:space="preserve"> </w:t>
      </w:r>
      <w:r w:rsidR="008A1F7D" w:rsidRPr="001E366B">
        <w:rPr>
          <w:sz w:val="24"/>
          <w:szCs w:val="24"/>
        </w:rPr>
        <w:t xml:space="preserve">of the </w:t>
      </w:r>
      <w:r w:rsidR="001C4B06" w:rsidRPr="001E366B">
        <w:rPr>
          <w:sz w:val="24"/>
          <w:szCs w:val="24"/>
        </w:rPr>
        <w:t>respondents (</w:t>
      </w:r>
      <w:r w:rsidR="007A4A77" w:rsidRPr="001E366B">
        <w:rPr>
          <w:sz w:val="24"/>
          <w:szCs w:val="24"/>
        </w:rPr>
        <w:t>47</w:t>
      </w:r>
      <w:r w:rsidR="001C4B06" w:rsidRPr="001E366B">
        <w:rPr>
          <w:sz w:val="24"/>
          <w:szCs w:val="24"/>
        </w:rPr>
        <w:t>%) indicated that they had a role in intern supervision</w:t>
      </w:r>
      <w:r w:rsidR="007A4A77" w:rsidRPr="001E366B">
        <w:rPr>
          <w:sz w:val="24"/>
          <w:szCs w:val="24"/>
        </w:rPr>
        <w:t xml:space="preserve"> (n=12) or would be interested in such a role (n=11). Mean</w:t>
      </w:r>
      <w:r w:rsidR="005C7A21" w:rsidRPr="001E366B">
        <w:rPr>
          <w:sz w:val="24"/>
          <w:szCs w:val="24"/>
        </w:rPr>
        <w:t>while</w:t>
      </w:r>
      <w:r w:rsidR="007A4A77" w:rsidRPr="001E366B">
        <w:rPr>
          <w:sz w:val="24"/>
          <w:szCs w:val="24"/>
        </w:rPr>
        <w:t>,</w:t>
      </w:r>
      <w:r w:rsidR="001C4B06" w:rsidRPr="001E366B">
        <w:rPr>
          <w:sz w:val="24"/>
          <w:szCs w:val="24"/>
        </w:rPr>
        <w:t xml:space="preserve"> </w:t>
      </w:r>
      <w:r w:rsidR="007A4A77" w:rsidRPr="001E366B">
        <w:rPr>
          <w:sz w:val="24"/>
          <w:szCs w:val="24"/>
        </w:rPr>
        <w:t xml:space="preserve">26 respondents </w:t>
      </w:r>
      <w:r w:rsidR="005B0950" w:rsidRPr="001E366B">
        <w:rPr>
          <w:sz w:val="24"/>
          <w:szCs w:val="24"/>
        </w:rPr>
        <w:t>(53</w:t>
      </w:r>
      <w:r w:rsidR="001C4B06" w:rsidRPr="001E366B">
        <w:rPr>
          <w:sz w:val="24"/>
          <w:szCs w:val="24"/>
        </w:rPr>
        <w:t>%</w:t>
      </w:r>
      <w:r w:rsidR="005B0950" w:rsidRPr="001E366B">
        <w:rPr>
          <w:sz w:val="24"/>
          <w:szCs w:val="24"/>
        </w:rPr>
        <w:t>)</w:t>
      </w:r>
      <w:r w:rsidR="001C4B06" w:rsidRPr="001E366B">
        <w:rPr>
          <w:sz w:val="24"/>
          <w:szCs w:val="24"/>
        </w:rPr>
        <w:t xml:space="preserve"> </w:t>
      </w:r>
      <w:r w:rsidR="005B0950" w:rsidRPr="001E366B">
        <w:rPr>
          <w:sz w:val="24"/>
          <w:szCs w:val="24"/>
        </w:rPr>
        <w:t xml:space="preserve">indicated </w:t>
      </w:r>
      <w:r w:rsidR="001C4B06" w:rsidRPr="001E366B">
        <w:rPr>
          <w:sz w:val="24"/>
          <w:szCs w:val="24"/>
        </w:rPr>
        <w:t>that the</w:t>
      </w:r>
      <w:r w:rsidR="00754C09">
        <w:rPr>
          <w:sz w:val="24"/>
          <w:szCs w:val="24"/>
        </w:rPr>
        <w:t>ir workplace</w:t>
      </w:r>
      <w:r w:rsidR="001C4B06" w:rsidRPr="001E366B">
        <w:rPr>
          <w:sz w:val="24"/>
          <w:szCs w:val="24"/>
        </w:rPr>
        <w:t xml:space="preserve"> </w:t>
      </w:r>
      <w:r w:rsidR="005B0950" w:rsidRPr="001E366B">
        <w:rPr>
          <w:sz w:val="24"/>
          <w:szCs w:val="24"/>
        </w:rPr>
        <w:t>either currently (n=22</w:t>
      </w:r>
      <w:r w:rsidR="293119F4" w:rsidRPr="001E366B">
        <w:rPr>
          <w:sz w:val="24"/>
          <w:szCs w:val="24"/>
        </w:rPr>
        <w:t>)</w:t>
      </w:r>
      <w:r w:rsidR="00E655B4" w:rsidRPr="001E366B">
        <w:rPr>
          <w:sz w:val="24"/>
          <w:szCs w:val="24"/>
        </w:rPr>
        <w:t xml:space="preserve"> </w:t>
      </w:r>
      <w:r w:rsidR="293119F4" w:rsidRPr="001E366B">
        <w:rPr>
          <w:sz w:val="24"/>
          <w:szCs w:val="24"/>
        </w:rPr>
        <w:t>or</w:t>
      </w:r>
      <w:r w:rsidR="005B0950" w:rsidRPr="001E366B">
        <w:rPr>
          <w:sz w:val="24"/>
          <w:szCs w:val="24"/>
        </w:rPr>
        <w:t xml:space="preserve"> </w:t>
      </w:r>
      <w:r w:rsidR="001C4B06" w:rsidRPr="001E366B">
        <w:rPr>
          <w:sz w:val="24"/>
          <w:szCs w:val="24"/>
        </w:rPr>
        <w:t xml:space="preserve">could </w:t>
      </w:r>
      <w:r w:rsidR="005B0950" w:rsidRPr="001E366B">
        <w:rPr>
          <w:sz w:val="24"/>
          <w:szCs w:val="24"/>
        </w:rPr>
        <w:t>potential</w:t>
      </w:r>
      <w:r w:rsidR="2F5DE244" w:rsidRPr="001E366B">
        <w:rPr>
          <w:sz w:val="24"/>
          <w:szCs w:val="24"/>
        </w:rPr>
        <w:t>ly</w:t>
      </w:r>
      <w:r w:rsidR="005B0950" w:rsidRPr="001E366B">
        <w:rPr>
          <w:sz w:val="24"/>
          <w:szCs w:val="24"/>
        </w:rPr>
        <w:t xml:space="preserve"> (n=4) </w:t>
      </w:r>
      <w:r w:rsidR="006A4470" w:rsidRPr="001E366B">
        <w:rPr>
          <w:sz w:val="24"/>
          <w:szCs w:val="24"/>
        </w:rPr>
        <w:t>supervise</w:t>
      </w:r>
      <w:r w:rsidR="001C4B06" w:rsidRPr="001E366B">
        <w:rPr>
          <w:sz w:val="24"/>
          <w:szCs w:val="24"/>
        </w:rPr>
        <w:t xml:space="preserve"> interns. </w:t>
      </w:r>
    </w:p>
    <w:p w14:paraId="6FCB5521" w14:textId="343FB4FB" w:rsidR="00185E95" w:rsidRPr="001E366B" w:rsidRDefault="00754C09" w:rsidP="087094F4">
      <w:pPr>
        <w:spacing w:after="120" w:line="360" w:lineRule="auto"/>
        <w:rPr>
          <w:sz w:val="24"/>
          <w:szCs w:val="24"/>
        </w:rPr>
      </w:pPr>
      <w:r>
        <w:rPr>
          <w:sz w:val="24"/>
          <w:szCs w:val="24"/>
        </w:rPr>
        <w:t>T</w:t>
      </w:r>
      <w:r w:rsidR="00B43135" w:rsidRPr="001E366B">
        <w:rPr>
          <w:sz w:val="24"/>
          <w:szCs w:val="24"/>
        </w:rPr>
        <w:t>ypes of servic</w:t>
      </w:r>
      <w:r w:rsidR="00DD6B19" w:rsidRPr="001E366B">
        <w:rPr>
          <w:sz w:val="24"/>
          <w:szCs w:val="24"/>
        </w:rPr>
        <w:t>es provided are shown in Table 3</w:t>
      </w:r>
      <w:r w:rsidR="002413D3">
        <w:rPr>
          <w:sz w:val="24"/>
          <w:szCs w:val="24"/>
        </w:rPr>
        <w:t>.</w:t>
      </w:r>
      <w:r w:rsidR="00EC52F6" w:rsidRPr="001E366B">
        <w:rPr>
          <w:sz w:val="24"/>
          <w:szCs w:val="24"/>
        </w:rPr>
        <w:t xml:space="preserve"> </w:t>
      </w:r>
      <w:r w:rsidR="00757F47" w:rsidRPr="001E366B">
        <w:rPr>
          <w:sz w:val="24"/>
          <w:szCs w:val="24"/>
        </w:rPr>
        <w:t xml:space="preserve">Six </w:t>
      </w:r>
      <w:r w:rsidR="002413D3">
        <w:rPr>
          <w:sz w:val="24"/>
          <w:szCs w:val="24"/>
        </w:rPr>
        <w:t xml:space="preserve">service </w:t>
      </w:r>
      <w:r w:rsidR="00754596">
        <w:rPr>
          <w:sz w:val="24"/>
          <w:szCs w:val="24"/>
        </w:rPr>
        <w:t xml:space="preserve">types </w:t>
      </w:r>
      <w:r w:rsidR="00757F47" w:rsidRPr="001E366B">
        <w:rPr>
          <w:sz w:val="24"/>
          <w:szCs w:val="24"/>
        </w:rPr>
        <w:t>were provided by 80% or more of the respondents</w:t>
      </w:r>
      <w:r w:rsidR="002413D3">
        <w:rPr>
          <w:sz w:val="24"/>
          <w:szCs w:val="24"/>
        </w:rPr>
        <w:t xml:space="preserve">, either </w:t>
      </w:r>
      <w:r w:rsidR="002413D3" w:rsidRPr="001E366B">
        <w:rPr>
          <w:sz w:val="24"/>
          <w:szCs w:val="24"/>
        </w:rPr>
        <w:t xml:space="preserve">by </w:t>
      </w:r>
      <w:r w:rsidR="002413D3">
        <w:rPr>
          <w:sz w:val="24"/>
          <w:szCs w:val="24"/>
        </w:rPr>
        <w:t>the</w:t>
      </w:r>
      <w:r w:rsidR="002413D3" w:rsidRPr="001E366B">
        <w:rPr>
          <w:sz w:val="24"/>
          <w:szCs w:val="24"/>
        </w:rPr>
        <w:t xml:space="preserve"> pharmacist or </w:t>
      </w:r>
      <w:r w:rsidR="002413D3">
        <w:rPr>
          <w:sz w:val="24"/>
          <w:szCs w:val="24"/>
        </w:rPr>
        <w:t>an</w:t>
      </w:r>
      <w:r w:rsidR="002413D3" w:rsidRPr="001E366B">
        <w:rPr>
          <w:sz w:val="24"/>
          <w:szCs w:val="24"/>
        </w:rPr>
        <w:t>other trained staff member</w:t>
      </w:r>
      <w:r w:rsidR="00D42485">
        <w:rPr>
          <w:sz w:val="24"/>
          <w:szCs w:val="24"/>
        </w:rPr>
        <w:t>,</w:t>
      </w:r>
      <w:r w:rsidR="002413D3" w:rsidRPr="001E366B">
        <w:rPr>
          <w:sz w:val="24"/>
          <w:szCs w:val="24"/>
        </w:rPr>
        <w:t xml:space="preserve"> or </w:t>
      </w:r>
      <w:r w:rsidR="002413D3">
        <w:rPr>
          <w:sz w:val="24"/>
          <w:szCs w:val="24"/>
        </w:rPr>
        <w:t xml:space="preserve">by </w:t>
      </w:r>
      <w:r w:rsidR="002413D3" w:rsidRPr="001E366B">
        <w:rPr>
          <w:sz w:val="24"/>
          <w:szCs w:val="24"/>
        </w:rPr>
        <w:lastRenderedPageBreak/>
        <w:t>an external provider</w:t>
      </w:r>
      <w:r w:rsidR="00757F47" w:rsidRPr="001E366B">
        <w:rPr>
          <w:sz w:val="24"/>
          <w:szCs w:val="24"/>
        </w:rPr>
        <w:t xml:space="preserve">. </w:t>
      </w:r>
      <w:r w:rsidR="00D42485" w:rsidRPr="001E366B">
        <w:rPr>
          <w:sz w:val="24"/>
          <w:szCs w:val="24"/>
        </w:rPr>
        <w:t xml:space="preserve">If </w:t>
      </w:r>
      <w:r w:rsidR="00D42485">
        <w:rPr>
          <w:sz w:val="24"/>
          <w:szCs w:val="24"/>
        </w:rPr>
        <w:t>no response was given</w:t>
      </w:r>
      <w:r w:rsidR="00D42485" w:rsidRPr="001E366B">
        <w:rPr>
          <w:sz w:val="24"/>
          <w:szCs w:val="24"/>
        </w:rPr>
        <w:t>, it was assumed the service was not offered</w:t>
      </w:r>
      <w:r w:rsidR="00D42485">
        <w:rPr>
          <w:sz w:val="24"/>
          <w:szCs w:val="24"/>
        </w:rPr>
        <w:t xml:space="preserve"> and</w:t>
      </w:r>
      <w:r w:rsidR="00D42485" w:rsidRPr="001E366B">
        <w:rPr>
          <w:sz w:val="24"/>
          <w:szCs w:val="24"/>
        </w:rPr>
        <w:t xml:space="preserve"> </w:t>
      </w:r>
      <w:r w:rsidR="00D42485">
        <w:rPr>
          <w:sz w:val="24"/>
          <w:szCs w:val="24"/>
        </w:rPr>
        <w:t>f</w:t>
      </w:r>
      <w:r w:rsidR="004F6BED" w:rsidRPr="001E366B">
        <w:rPr>
          <w:sz w:val="24"/>
          <w:szCs w:val="24"/>
        </w:rPr>
        <w:t>or</w:t>
      </w:r>
      <w:r w:rsidR="005D0F48" w:rsidRPr="001E366B">
        <w:rPr>
          <w:sz w:val="24"/>
          <w:szCs w:val="24"/>
        </w:rPr>
        <w:t xml:space="preserve"> two </w:t>
      </w:r>
      <w:r w:rsidR="002413D3">
        <w:rPr>
          <w:sz w:val="24"/>
          <w:szCs w:val="24"/>
        </w:rPr>
        <w:t xml:space="preserve">service </w:t>
      </w:r>
      <w:r w:rsidR="005D0F48" w:rsidRPr="001E366B">
        <w:rPr>
          <w:sz w:val="24"/>
          <w:szCs w:val="24"/>
        </w:rPr>
        <w:t>types</w:t>
      </w:r>
      <w:r w:rsidR="00874ABF" w:rsidRPr="001E366B">
        <w:rPr>
          <w:sz w:val="24"/>
          <w:szCs w:val="24"/>
        </w:rPr>
        <w:t>,</w:t>
      </w:r>
      <w:r w:rsidR="005D0F48" w:rsidRPr="001E366B">
        <w:rPr>
          <w:sz w:val="24"/>
          <w:szCs w:val="24"/>
        </w:rPr>
        <w:t xml:space="preserve"> </w:t>
      </w:r>
      <w:r w:rsidR="00874ABF" w:rsidRPr="001E366B">
        <w:rPr>
          <w:sz w:val="24"/>
          <w:szCs w:val="24"/>
        </w:rPr>
        <w:t xml:space="preserve">Chronic Obstructive </w:t>
      </w:r>
      <w:r w:rsidR="00A0777F" w:rsidRPr="001E366B">
        <w:rPr>
          <w:sz w:val="24"/>
          <w:szCs w:val="24"/>
        </w:rPr>
        <w:t>Pulmonary</w:t>
      </w:r>
      <w:r w:rsidR="00874ABF" w:rsidRPr="001E366B">
        <w:rPr>
          <w:sz w:val="24"/>
          <w:szCs w:val="24"/>
        </w:rPr>
        <w:t xml:space="preserve"> Disease (</w:t>
      </w:r>
      <w:r w:rsidR="005D0F48" w:rsidRPr="001E366B">
        <w:rPr>
          <w:sz w:val="24"/>
          <w:szCs w:val="24"/>
        </w:rPr>
        <w:t>COPD</w:t>
      </w:r>
      <w:r w:rsidR="00874ABF" w:rsidRPr="001E366B">
        <w:rPr>
          <w:sz w:val="24"/>
          <w:szCs w:val="24"/>
        </w:rPr>
        <w:t>)</w:t>
      </w:r>
      <w:r w:rsidR="005D0F48" w:rsidRPr="001E366B">
        <w:rPr>
          <w:sz w:val="24"/>
          <w:szCs w:val="24"/>
        </w:rPr>
        <w:t xml:space="preserve"> screening and</w:t>
      </w:r>
      <w:r w:rsidR="00E655B4" w:rsidRPr="001E366B">
        <w:rPr>
          <w:sz w:val="24"/>
          <w:szCs w:val="24"/>
        </w:rPr>
        <w:t xml:space="preserve"> International Normalised Ratio</w:t>
      </w:r>
      <w:r w:rsidR="005D0F48" w:rsidRPr="001E366B">
        <w:rPr>
          <w:sz w:val="24"/>
          <w:szCs w:val="24"/>
        </w:rPr>
        <w:t xml:space="preserve"> </w:t>
      </w:r>
      <w:r w:rsidR="00874ABF" w:rsidRPr="001E366B">
        <w:rPr>
          <w:sz w:val="24"/>
          <w:szCs w:val="24"/>
        </w:rPr>
        <w:t>(</w:t>
      </w:r>
      <w:r w:rsidR="005D0F48" w:rsidRPr="001E366B">
        <w:rPr>
          <w:sz w:val="24"/>
          <w:szCs w:val="24"/>
        </w:rPr>
        <w:t>INR</w:t>
      </w:r>
      <w:r w:rsidR="00874ABF" w:rsidRPr="001E366B">
        <w:rPr>
          <w:sz w:val="24"/>
          <w:szCs w:val="24"/>
        </w:rPr>
        <w:t>)</w:t>
      </w:r>
      <w:r w:rsidR="005D0F48" w:rsidRPr="001E366B">
        <w:rPr>
          <w:sz w:val="24"/>
          <w:szCs w:val="24"/>
        </w:rPr>
        <w:t xml:space="preserve"> monitoring</w:t>
      </w:r>
      <w:r w:rsidR="00874ABF" w:rsidRPr="001E366B">
        <w:rPr>
          <w:sz w:val="24"/>
          <w:szCs w:val="24"/>
        </w:rPr>
        <w:t>,</w:t>
      </w:r>
      <w:r w:rsidR="005D0F48" w:rsidRPr="001E366B">
        <w:rPr>
          <w:sz w:val="24"/>
          <w:szCs w:val="24"/>
        </w:rPr>
        <w:t xml:space="preserve"> more than 80% </w:t>
      </w:r>
      <w:r w:rsidR="00A264C9" w:rsidRPr="001E366B">
        <w:rPr>
          <w:sz w:val="24"/>
          <w:szCs w:val="24"/>
        </w:rPr>
        <w:t xml:space="preserve">did </w:t>
      </w:r>
      <w:r w:rsidR="005D0F48" w:rsidRPr="001E366B">
        <w:rPr>
          <w:sz w:val="24"/>
          <w:szCs w:val="24"/>
        </w:rPr>
        <w:t>not respond</w:t>
      </w:r>
      <w:r w:rsidR="004F6BED" w:rsidRPr="001E366B">
        <w:rPr>
          <w:sz w:val="24"/>
          <w:szCs w:val="24"/>
        </w:rPr>
        <w:t>.</w:t>
      </w:r>
      <w:r w:rsidR="006B60E3" w:rsidRPr="001E366B">
        <w:rPr>
          <w:sz w:val="24"/>
          <w:szCs w:val="24"/>
        </w:rPr>
        <w:t xml:space="preserve"> Asked whether, given adequate staffing, they would broaden the range of services </w:t>
      </w:r>
      <w:r w:rsidR="00D54D5A" w:rsidRPr="001E366B">
        <w:rPr>
          <w:sz w:val="24"/>
          <w:szCs w:val="24"/>
        </w:rPr>
        <w:t xml:space="preserve">or scope of practice, only </w:t>
      </w:r>
      <w:r w:rsidR="00DD6B19" w:rsidRPr="001E366B">
        <w:rPr>
          <w:sz w:val="24"/>
          <w:szCs w:val="24"/>
        </w:rPr>
        <w:t>three</w:t>
      </w:r>
      <w:r w:rsidR="00D54D5A" w:rsidRPr="001E366B">
        <w:rPr>
          <w:sz w:val="24"/>
          <w:szCs w:val="24"/>
        </w:rPr>
        <w:t xml:space="preserve"> respondents (6%) said ‘</w:t>
      </w:r>
      <w:r w:rsidR="00672CD7" w:rsidRPr="001E366B">
        <w:rPr>
          <w:sz w:val="24"/>
          <w:szCs w:val="24"/>
        </w:rPr>
        <w:t>No’, 74% ‘Yes’ and 2</w:t>
      </w:r>
      <w:r w:rsidR="00D54D5A" w:rsidRPr="001E366B">
        <w:rPr>
          <w:sz w:val="24"/>
          <w:szCs w:val="24"/>
        </w:rPr>
        <w:t xml:space="preserve">0% </w:t>
      </w:r>
      <w:r w:rsidR="00D02C7E">
        <w:rPr>
          <w:sz w:val="24"/>
          <w:szCs w:val="24"/>
        </w:rPr>
        <w:t xml:space="preserve">were </w:t>
      </w:r>
      <w:r w:rsidR="00D54D5A" w:rsidRPr="001E366B">
        <w:rPr>
          <w:sz w:val="24"/>
          <w:szCs w:val="24"/>
        </w:rPr>
        <w:t xml:space="preserve">‘Unsure’. </w:t>
      </w:r>
      <w:r w:rsidR="00334070">
        <w:rPr>
          <w:sz w:val="24"/>
          <w:szCs w:val="24"/>
        </w:rPr>
        <w:t xml:space="preserve">Also </w:t>
      </w:r>
      <w:r w:rsidR="00D54D5A" w:rsidRPr="001E366B">
        <w:rPr>
          <w:sz w:val="24"/>
          <w:szCs w:val="24"/>
        </w:rPr>
        <w:t xml:space="preserve">asked </w:t>
      </w:r>
      <w:r w:rsidR="00334070">
        <w:rPr>
          <w:sz w:val="24"/>
          <w:szCs w:val="24"/>
        </w:rPr>
        <w:t>what</w:t>
      </w:r>
      <w:r w:rsidR="00334070" w:rsidRPr="001E366B">
        <w:rPr>
          <w:sz w:val="24"/>
          <w:szCs w:val="24"/>
        </w:rPr>
        <w:t xml:space="preserve"> </w:t>
      </w:r>
      <w:r w:rsidR="00D54D5A" w:rsidRPr="001E366B">
        <w:rPr>
          <w:sz w:val="24"/>
          <w:szCs w:val="24"/>
        </w:rPr>
        <w:t>activities, if any, were limited by ‘staffing issues’</w:t>
      </w:r>
      <w:r w:rsidR="00334070">
        <w:rPr>
          <w:sz w:val="24"/>
          <w:szCs w:val="24"/>
        </w:rPr>
        <w:t>, t</w:t>
      </w:r>
      <w:r w:rsidR="00D54D5A" w:rsidRPr="001E366B">
        <w:rPr>
          <w:sz w:val="24"/>
          <w:szCs w:val="24"/>
        </w:rPr>
        <w:t xml:space="preserve">he </w:t>
      </w:r>
      <w:r w:rsidR="00AA29CB" w:rsidRPr="001E366B">
        <w:rPr>
          <w:sz w:val="24"/>
          <w:szCs w:val="24"/>
        </w:rPr>
        <w:t xml:space="preserve">most </w:t>
      </w:r>
      <w:r w:rsidR="00D54D5A" w:rsidRPr="001E366B">
        <w:rPr>
          <w:sz w:val="24"/>
          <w:szCs w:val="24"/>
        </w:rPr>
        <w:t xml:space="preserve">common </w:t>
      </w:r>
      <w:r w:rsidR="00D02C7E">
        <w:rPr>
          <w:sz w:val="24"/>
          <w:szCs w:val="24"/>
        </w:rPr>
        <w:t xml:space="preserve">responses </w:t>
      </w:r>
      <w:r w:rsidR="00D54D5A" w:rsidRPr="001E366B">
        <w:rPr>
          <w:sz w:val="24"/>
          <w:szCs w:val="24"/>
        </w:rPr>
        <w:t xml:space="preserve">were </w:t>
      </w:r>
      <w:r w:rsidR="00334070">
        <w:rPr>
          <w:sz w:val="24"/>
          <w:szCs w:val="24"/>
        </w:rPr>
        <w:t>‘</w:t>
      </w:r>
      <w:r w:rsidR="00AA29CB" w:rsidRPr="001E366B">
        <w:rPr>
          <w:sz w:val="24"/>
          <w:szCs w:val="24"/>
        </w:rPr>
        <w:t>limitations on providing professional services</w:t>
      </w:r>
      <w:r w:rsidR="00334070">
        <w:rPr>
          <w:sz w:val="24"/>
          <w:szCs w:val="24"/>
        </w:rPr>
        <w:t>’ (58%)</w:t>
      </w:r>
      <w:r w:rsidR="00AA29CB" w:rsidRPr="001E366B">
        <w:rPr>
          <w:sz w:val="24"/>
          <w:szCs w:val="24"/>
        </w:rPr>
        <w:t xml:space="preserve"> and in </w:t>
      </w:r>
      <w:r w:rsidR="00334070">
        <w:rPr>
          <w:sz w:val="24"/>
          <w:szCs w:val="24"/>
        </w:rPr>
        <w:t>‘</w:t>
      </w:r>
      <w:r w:rsidR="00754596">
        <w:rPr>
          <w:sz w:val="24"/>
          <w:szCs w:val="24"/>
        </w:rPr>
        <w:t>extend</w:t>
      </w:r>
      <w:r w:rsidR="006F236F">
        <w:rPr>
          <w:sz w:val="24"/>
          <w:szCs w:val="24"/>
        </w:rPr>
        <w:t>i</w:t>
      </w:r>
      <w:r w:rsidR="00754596">
        <w:rPr>
          <w:sz w:val="24"/>
          <w:szCs w:val="24"/>
        </w:rPr>
        <w:t xml:space="preserve">ng </w:t>
      </w:r>
      <w:r w:rsidR="00AA29CB" w:rsidRPr="001E366B">
        <w:rPr>
          <w:sz w:val="24"/>
          <w:szCs w:val="24"/>
        </w:rPr>
        <w:t>scope of practice</w:t>
      </w:r>
      <w:r w:rsidR="00334070">
        <w:rPr>
          <w:sz w:val="24"/>
          <w:szCs w:val="24"/>
        </w:rPr>
        <w:t>’ (56%)</w:t>
      </w:r>
      <w:r w:rsidR="00AA29CB" w:rsidRPr="001E366B">
        <w:rPr>
          <w:sz w:val="24"/>
          <w:szCs w:val="24"/>
        </w:rPr>
        <w:t xml:space="preserve">. Limiting </w:t>
      </w:r>
      <w:r w:rsidR="00334070">
        <w:rPr>
          <w:sz w:val="24"/>
          <w:szCs w:val="24"/>
        </w:rPr>
        <w:t>‘</w:t>
      </w:r>
      <w:r w:rsidR="00AA29CB" w:rsidRPr="001E366B">
        <w:rPr>
          <w:sz w:val="24"/>
          <w:szCs w:val="24"/>
        </w:rPr>
        <w:t>capacity to take annual leave</w:t>
      </w:r>
      <w:r w:rsidR="00334070">
        <w:rPr>
          <w:sz w:val="24"/>
          <w:szCs w:val="24"/>
        </w:rPr>
        <w:t>’</w:t>
      </w:r>
      <w:r w:rsidR="00AA29CB" w:rsidRPr="001E366B">
        <w:rPr>
          <w:sz w:val="24"/>
          <w:szCs w:val="24"/>
        </w:rPr>
        <w:t xml:space="preserve"> was indicated by 52%, while the least common was limiting </w:t>
      </w:r>
      <w:r w:rsidR="00334070">
        <w:rPr>
          <w:sz w:val="24"/>
          <w:szCs w:val="24"/>
        </w:rPr>
        <w:t>‘</w:t>
      </w:r>
      <w:r w:rsidR="00AA29CB" w:rsidRPr="001E366B">
        <w:rPr>
          <w:sz w:val="24"/>
          <w:szCs w:val="24"/>
        </w:rPr>
        <w:t>supervision of students and interns</w:t>
      </w:r>
      <w:r w:rsidR="00334070">
        <w:rPr>
          <w:sz w:val="24"/>
          <w:szCs w:val="24"/>
        </w:rPr>
        <w:t>’ (24%)</w:t>
      </w:r>
      <w:r w:rsidR="00AA29CB" w:rsidRPr="001E366B">
        <w:rPr>
          <w:sz w:val="24"/>
          <w:szCs w:val="24"/>
        </w:rPr>
        <w:t xml:space="preserve">. </w:t>
      </w:r>
      <w:r w:rsidR="00334070">
        <w:rPr>
          <w:sz w:val="24"/>
          <w:szCs w:val="24"/>
        </w:rPr>
        <w:t>‘</w:t>
      </w:r>
      <w:r w:rsidR="00AA29CB" w:rsidRPr="001E366B">
        <w:rPr>
          <w:sz w:val="24"/>
          <w:szCs w:val="24"/>
        </w:rPr>
        <w:t>Attending CPD events</w:t>
      </w:r>
      <w:r w:rsidR="00334070">
        <w:rPr>
          <w:sz w:val="24"/>
          <w:szCs w:val="24"/>
        </w:rPr>
        <w:t>’</w:t>
      </w:r>
      <w:r w:rsidR="00AA29CB" w:rsidRPr="001E366B">
        <w:rPr>
          <w:sz w:val="24"/>
          <w:szCs w:val="24"/>
        </w:rPr>
        <w:t xml:space="preserve"> and </w:t>
      </w:r>
      <w:r w:rsidR="00334070">
        <w:rPr>
          <w:sz w:val="24"/>
          <w:szCs w:val="24"/>
        </w:rPr>
        <w:t>‘</w:t>
      </w:r>
      <w:r w:rsidR="00AA29CB" w:rsidRPr="001E366B">
        <w:rPr>
          <w:sz w:val="24"/>
          <w:szCs w:val="24"/>
        </w:rPr>
        <w:t>attracting locums</w:t>
      </w:r>
      <w:r w:rsidR="00D02C7E">
        <w:rPr>
          <w:sz w:val="24"/>
          <w:szCs w:val="24"/>
        </w:rPr>
        <w:t>’</w:t>
      </w:r>
      <w:r w:rsidR="00AA29CB" w:rsidRPr="001E366B">
        <w:rPr>
          <w:sz w:val="24"/>
          <w:szCs w:val="24"/>
        </w:rPr>
        <w:t xml:space="preserve"> were both flagged by 30%.</w:t>
      </w:r>
    </w:p>
    <w:p w14:paraId="083E6095" w14:textId="24FAA48C" w:rsidR="003667E9" w:rsidRPr="001E366B" w:rsidRDefault="00EE29AC" w:rsidP="00E655B4">
      <w:pPr>
        <w:spacing w:after="120" w:line="360" w:lineRule="auto"/>
        <w:rPr>
          <w:rFonts w:cstheme="minorHAnsi"/>
          <w:sz w:val="24"/>
          <w:szCs w:val="24"/>
        </w:rPr>
      </w:pPr>
      <w:r w:rsidRPr="001E366B">
        <w:rPr>
          <w:rFonts w:cstheme="minorHAnsi"/>
          <w:sz w:val="24"/>
          <w:szCs w:val="24"/>
        </w:rPr>
        <w:t>Six</w:t>
      </w:r>
      <w:r w:rsidR="003667E9" w:rsidRPr="001E366B">
        <w:rPr>
          <w:rFonts w:cstheme="minorHAnsi"/>
          <w:sz w:val="24"/>
          <w:szCs w:val="24"/>
        </w:rPr>
        <w:t xml:space="preserve"> respondents (14%) </w:t>
      </w:r>
      <w:r w:rsidR="00334070">
        <w:rPr>
          <w:rFonts w:cstheme="minorHAnsi"/>
          <w:sz w:val="24"/>
          <w:szCs w:val="24"/>
        </w:rPr>
        <w:t>gave</w:t>
      </w:r>
      <w:r w:rsidR="003667E9" w:rsidRPr="001E366B">
        <w:rPr>
          <w:rFonts w:cstheme="minorHAnsi"/>
          <w:sz w:val="24"/>
          <w:szCs w:val="24"/>
        </w:rPr>
        <w:t xml:space="preserve"> open-ended comments</w:t>
      </w:r>
      <w:r w:rsidR="00822D2F" w:rsidRPr="001E366B">
        <w:rPr>
          <w:rFonts w:cstheme="minorHAnsi"/>
          <w:sz w:val="24"/>
          <w:szCs w:val="24"/>
        </w:rPr>
        <w:t xml:space="preserve">, most about staffing and recruitment, </w:t>
      </w:r>
      <w:r w:rsidR="00281DD3" w:rsidRPr="001E366B">
        <w:rPr>
          <w:rFonts w:cstheme="minorHAnsi"/>
          <w:sz w:val="24"/>
          <w:szCs w:val="24"/>
        </w:rPr>
        <w:t>such as</w:t>
      </w:r>
      <w:r w:rsidR="003667E9" w:rsidRPr="001E366B">
        <w:rPr>
          <w:rFonts w:cstheme="minorHAnsi"/>
          <w:sz w:val="24"/>
          <w:szCs w:val="24"/>
        </w:rPr>
        <w:t>:</w:t>
      </w:r>
    </w:p>
    <w:p w14:paraId="3C256D5B" w14:textId="476E1A0D" w:rsidR="003667E9" w:rsidRPr="001E366B" w:rsidRDefault="003667E9" w:rsidP="00E655B4">
      <w:pPr>
        <w:spacing w:after="120" w:line="360" w:lineRule="auto"/>
        <w:ind w:left="720"/>
        <w:rPr>
          <w:rFonts w:cstheme="minorHAnsi"/>
          <w:i/>
          <w:sz w:val="24"/>
          <w:szCs w:val="24"/>
        </w:rPr>
      </w:pPr>
      <w:r w:rsidRPr="001E366B">
        <w:rPr>
          <w:rFonts w:cstheme="minorHAnsi"/>
          <w:i/>
          <w:sz w:val="24"/>
          <w:szCs w:val="24"/>
        </w:rPr>
        <w:t>‘When pharmacist in charge</w:t>
      </w:r>
      <w:r w:rsidR="00281DD3" w:rsidRPr="001E366B">
        <w:rPr>
          <w:rFonts w:cstheme="minorHAnsi"/>
          <w:i/>
          <w:sz w:val="24"/>
          <w:szCs w:val="24"/>
        </w:rPr>
        <w:t>,</w:t>
      </w:r>
      <w:r w:rsidRPr="001E366B">
        <w:rPr>
          <w:rFonts w:cstheme="minorHAnsi"/>
          <w:i/>
          <w:sz w:val="24"/>
          <w:szCs w:val="24"/>
        </w:rPr>
        <w:t xml:space="preserve"> I am a sole pharmacist on duty and struggle to find enough hours to complete necessary tasks. Would love to have another pharmacist on duty to enhance clinical role.’</w:t>
      </w:r>
      <w:r w:rsidR="00822D2F" w:rsidRPr="001E366B">
        <w:rPr>
          <w:rFonts w:cstheme="minorHAnsi"/>
          <w:i/>
          <w:sz w:val="24"/>
          <w:szCs w:val="24"/>
        </w:rPr>
        <w:t xml:space="preserve"> </w:t>
      </w:r>
      <w:r w:rsidR="00822D2F" w:rsidRPr="001E366B">
        <w:rPr>
          <w:rFonts w:cstheme="minorHAnsi"/>
          <w:sz w:val="24"/>
          <w:szCs w:val="24"/>
        </w:rPr>
        <w:t>(</w:t>
      </w:r>
      <w:r w:rsidR="009212A6" w:rsidRPr="001E366B">
        <w:rPr>
          <w:rFonts w:cstheme="minorHAnsi"/>
          <w:sz w:val="24"/>
          <w:szCs w:val="24"/>
        </w:rPr>
        <w:t>Respondent #4, MMM3</w:t>
      </w:r>
      <w:r w:rsidR="00822D2F" w:rsidRPr="001E366B">
        <w:rPr>
          <w:rFonts w:cstheme="minorHAnsi"/>
          <w:sz w:val="24"/>
          <w:szCs w:val="24"/>
        </w:rPr>
        <w:t>)</w:t>
      </w:r>
    </w:p>
    <w:p w14:paraId="0423ED2C" w14:textId="3E87513F" w:rsidR="003667E9" w:rsidRPr="001E366B" w:rsidRDefault="00822D2F" w:rsidP="00E655B4">
      <w:pPr>
        <w:spacing w:after="120" w:line="360" w:lineRule="auto"/>
        <w:ind w:left="720"/>
        <w:rPr>
          <w:rFonts w:cstheme="minorHAnsi"/>
          <w:sz w:val="24"/>
          <w:szCs w:val="24"/>
        </w:rPr>
      </w:pPr>
      <w:r w:rsidRPr="001E366B">
        <w:rPr>
          <w:rFonts w:cstheme="minorHAnsi"/>
          <w:i/>
          <w:sz w:val="24"/>
          <w:szCs w:val="24"/>
        </w:rPr>
        <w:t>‘</w:t>
      </w:r>
      <w:r w:rsidR="003667E9" w:rsidRPr="001E366B">
        <w:rPr>
          <w:rFonts w:cstheme="minorHAnsi"/>
          <w:i/>
          <w:sz w:val="24"/>
          <w:szCs w:val="24"/>
        </w:rPr>
        <w:t xml:space="preserve">It is difficult in rural areas to balance cost with adequate staffing, particularly due to decreased income in recent years (codeine rescheduling, accelerated price disclosure) </w:t>
      </w:r>
      <w:proofErr w:type="gramStart"/>
      <w:r w:rsidR="00334070">
        <w:rPr>
          <w:rFonts w:cstheme="minorHAnsi"/>
          <w:i/>
          <w:sz w:val="24"/>
          <w:szCs w:val="24"/>
        </w:rPr>
        <w:t xml:space="preserve">… </w:t>
      </w:r>
      <w:r w:rsidR="003667E9" w:rsidRPr="001E366B">
        <w:rPr>
          <w:rFonts w:cstheme="minorHAnsi"/>
          <w:i/>
          <w:sz w:val="24"/>
          <w:szCs w:val="24"/>
        </w:rPr>
        <w:t>.</w:t>
      </w:r>
      <w:proofErr w:type="gramEnd"/>
      <w:r w:rsidR="003667E9" w:rsidRPr="001E366B">
        <w:rPr>
          <w:rFonts w:cstheme="minorHAnsi"/>
          <w:i/>
          <w:sz w:val="24"/>
          <w:szCs w:val="24"/>
        </w:rPr>
        <w:t>’</w:t>
      </w:r>
      <w:r w:rsidRPr="001E366B">
        <w:rPr>
          <w:rFonts w:cstheme="minorHAnsi"/>
          <w:i/>
          <w:sz w:val="24"/>
          <w:szCs w:val="24"/>
        </w:rPr>
        <w:t xml:space="preserve"> </w:t>
      </w:r>
      <w:r w:rsidRPr="001E366B">
        <w:rPr>
          <w:rFonts w:cstheme="minorHAnsi"/>
          <w:sz w:val="24"/>
          <w:szCs w:val="24"/>
        </w:rPr>
        <w:t>(</w:t>
      </w:r>
      <w:r w:rsidR="00EE29AC" w:rsidRPr="001E366B">
        <w:rPr>
          <w:rFonts w:cstheme="minorHAnsi"/>
          <w:sz w:val="24"/>
          <w:szCs w:val="24"/>
        </w:rPr>
        <w:t>Respondent #37</w:t>
      </w:r>
      <w:r w:rsidR="009212A6" w:rsidRPr="001E366B">
        <w:rPr>
          <w:rFonts w:cstheme="minorHAnsi"/>
          <w:sz w:val="24"/>
          <w:szCs w:val="24"/>
        </w:rPr>
        <w:t>, MMM5</w:t>
      </w:r>
      <w:r w:rsidRPr="001E366B">
        <w:rPr>
          <w:rFonts w:cstheme="minorHAnsi"/>
          <w:sz w:val="24"/>
          <w:szCs w:val="24"/>
        </w:rPr>
        <w:t>)</w:t>
      </w:r>
    </w:p>
    <w:p w14:paraId="6FCB5522" w14:textId="05266FDF" w:rsidR="00177CAC" w:rsidRPr="001E366B" w:rsidRDefault="00EE29AC" w:rsidP="00E655B4">
      <w:pPr>
        <w:spacing w:after="120" w:line="360" w:lineRule="auto"/>
        <w:rPr>
          <w:rFonts w:cstheme="minorHAnsi"/>
          <w:sz w:val="24"/>
          <w:szCs w:val="24"/>
        </w:rPr>
      </w:pPr>
      <w:r w:rsidRPr="001E366B">
        <w:rPr>
          <w:rFonts w:cstheme="minorHAnsi"/>
          <w:sz w:val="24"/>
          <w:szCs w:val="24"/>
        </w:rPr>
        <w:t xml:space="preserve">One respondent </w:t>
      </w:r>
      <w:r w:rsidR="00D42485" w:rsidRPr="001E366B">
        <w:rPr>
          <w:rFonts w:cstheme="minorHAnsi"/>
          <w:sz w:val="24"/>
          <w:szCs w:val="24"/>
        </w:rPr>
        <w:t>express</w:t>
      </w:r>
      <w:r w:rsidR="00D42485">
        <w:rPr>
          <w:rFonts w:cstheme="minorHAnsi"/>
          <w:sz w:val="24"/>
          <w:szCs w:val="24"/>
        </w:rPr>
        <w:t>ed</w:t>
      </w:r>
      <w:r w:rsidR="00D42485" w:rsidRPr="001E366B">
        <w:rPr>
          <w:rFonts w:cstheme="minorHAnsi"/>
          <w:sz w:val="24"/>
          <w:szCs w:val="24"/>
        </w:rPr>
        <w:t xml:space="preserve"> </w:t>
      </w:r>
      <w:r w:rsidRPr="001E366B">
        <w:rPr>
          <w:rFonts w:cstheme="minorHAnsi"/>
          <w:sz w:val="24"/>
          <w:szCs w:val="24"/>
        </w:rPr>
        <w:t>a desire to do more:</w:t>
      </w:r>
    </w:p>
    <w:p w14:paraId="593A73BB" w14:textId="41090BF1" w:rsidR="00EE29AC" w:rsidRPr="001E366B" w:rsidRDefault="00EE29AC" w:rsidP="00EE29AC">
      <w:pPr>
        <w:spacing w:after="120" w:line="360" w:lineRule="auto"/>
        <w:ind w:left="709"/>
        <w:rPr>
          <w:rFonts w:cstheme="minorHAnsi"/>
          <w:sz w:val="24"/>
          <w:szCs w:val="24"/>
        </w:rPr>
      </w:pPr>
      <w:r w:rsidRPr="001E366B">
        <w:rPr>
          <w:rFonts w:cstheme="minorHAnsi"/>
          <w:i/>
          <w:sz w:val="24"/>
          <w:szCs w:val="24"/>
        </w:rPr>
        <w:t xml:space="preserve">‘I enjoy being a pharmacist and want to learn and offer more knowledge and services to consumers, time permitting.’ </w:t>
      </w:r>
      <w:r w:rsidRPr="001E366B">
        <w:rPr>
          <w:rFonts w:cstheme="minorHAnsi"/>
          <w:sz w:val="24"/>
          <w:szCs w:val="24"/>
        </w:rPr>
        <w:t>(Respondent #7</w:t>
      </w:r>
      <w:r w:rsidR="009212A6" w:rsidRPr="001E366B">
        <w:rPr>
          <w:rFonts w:cstheme="minorHAnsi"/>
          <w:sz w:val="24"/>
          <w:szCs w:val="24"/>
        </w:rPr>
        <w:t xml:space="preserve">, </w:t>
      </w:r>
      <w:r w:rsidR="004C400B" w:rsidRPr="001E366B">
        <w:rPr>
          <w:rFonts w:cstheme="minorHAnsi"/>
          <w:sz w:val="24"/>
          <w:szCs w:val="24"/>
        </w:rPr>
        <w:t>Location unknown</w:t>
      </w:r>
      <w:r w:rsidRPr="001E366B">
        <w:rPr>
          <w:rFonts w:cstheme="minorHAnsi"/>
          <w:sz w:val="24"/>
          <w:szCs w:val="24"/>
        </w:rPr>
        <w:t>)</w:t>
      </w:r>
    </w:p>
    <w:p w14:paraId="1E5E39D7" w14:textId="77777777" w:rsidR="00EE29AC" w:rsidRPr="006A4470" w:rsidRDefault="00EE29AC" w:rsidP="00EE29AC">
      <w:pPr>
        <w:spacing w:after="120" w:line="360" w:lineRule="auto"/>
        <w:rPr>
          <w:rFonts w:cstheme="minorHAnsi"/>
          <w:sz w:val="24"/>
          <w:szCs w:val="24"/>
        </w:rPr>
      </w:pPr>
    </w:p>
    <w:p w14:paraId="6FCB5523" w14:textId="77777777" w:rsidR="00177CAC" w:rsidRPr="003667E9" w:rsidRDefault="00177CAC" w:rsidP="00177CAC">
      <w:pPr>
        <w:spacing w:after="120" w:line="360" w:lineRule="auto"/>
        <w:rPr>
          <w:rFonts w:cstheme="minorHAnsi"/>
          <w:b/>
          <w:sz w:val="28"/>
          <w:szCs w:val="28"/>
        </w:rPr>
      </w:pPr>
      <w:r w:rsidRPr="003667E9">
        <w:rPr>
          <w:rFonts w:cstheme="minorHAnsi"/>
          <w:b/>
          <w:sz w:val="28"/>
          <w:szCs w:val="28"/>
        </w:rPr>
        <w:t>Discussion</w:t>
      </w:r>
    </w:p>
    <w:p w14:paraId="5148A948" w14:textId="4301F65B" w:rsidR="00F46BEC" w:rsidRPr="001E366B" w:rsidRDefault="001F600A" w:rsidP="00177CAC">
      <w:pPr>
        <w:spacing w:after="120" w:line="360" w:lineRule="auto"/>
        <w:textAlignment w:val="baseline"/>
        <w:rPr>
          <w:sz w:val="24"/>
          <w:szCs w:val="24"/>
        </w:rPr>
      </w:pPr>
      <w:r w:rsidRPr="001E366B">
        <w:rPr>
          <w:rFonts w:eastAsiaTheme="minorEastAsia"/>
          <w:color w:val="000000" w:themeColor="text1"/>
          <w:sz w:val="24"/>
          <w:szCs w:val="24"/>
        </w:rPr>
        <w:t xml:space="preserve">The regions in this </w:t>
      </w:r>
      <w:r w:rsidR="009E21D0">
        <w:rPr>
          <w:rFonts w:eastAsiaTheme="minorEastAsia"/>
          <w:color w:val="000000" w:themeColor="text1"/>
          <w:sz w:val="24"/>
          <w:szCs w:val="24"/>
        </w:rPr>
        <w:t>project</w:t>
      </w:r>
      <w:r w:rsidRPr="001E366B">
        <w:rPr>
          <w:rFonts w:eastAsiaTheme="minorEastAsia"/>
          <w:color w:val="000000" w:themeColor="text1"/>
          <w:sz w:val="24"/>
          <w:szCs w:val="24"/>
        </w:rPr>
        <w:t xml:space="preserve"> are </w:t>
      </w:r>
      <w:r w:rsidR="00893CCF" w:rsidRPr="001E366B">
        <w:rPr>
          <w:rFonts w:eastAsiaTheme="minorEastAsia"/>
          <w:color w:val="000000" w:themeColor="text1"/>
          <w:sz w:val="24"/>
          <w:szCs w:val="24"/>
        </w:rPr>
        <w:t xml:space="preserve">different and </w:t>
      </w:r>
      <w:r w:rsidRPr="001E366B">
        <w:rPr>
          <w:rFonts w:eastAsiaTheme="minorEastAsia"/>
          <w:color w:val="000000" w:themeColor="text1"/>
          <w:sz w:val="24"/>
          <w:szCs w:val="24"/>
        </w:rPr>
        <w:t xml:space="preserve">diverse, encompassing </w:t>
      </w:r>
      <w:r w:rsidR="00EF7646">
        <w:rPr>
          <w:rFonts w:eastAsiaTheme="minorEastAsia"/>
          <w:color w:val="000000" w:themeColor="text1"/>
          <w:sz w:val="24"/>
          <w:szCs w:val="24"/>
        </w:rPr>
        <w:t>both</w:t>
      </w:r>
      <w:r w:rsidR="005E637C" w:rsidRPr="001E366B">
        <w:rPr>
          <w:rFonts w:eastAsiaTheme="minorEastAsia"/>
          <w:color w:val="000000" w:themeColor="text1"/>
          <w:sz w:val="24"/>
          <w:szCs w:val="24"/>
        </w:rPr>
        <w:t xml:space="preserve"> </w:t>
      </w:r>
      <w:r w:rsidRPr="001E366B">
        <w:rPr>
          <w:rFonts w:eastAsiaTheme="minorEastAsia"/>
          <w:color w:val="000000" w:themeColor="text1"/>
          <w:sz w:val="24"/>
          <w:szCs w:val="24"/>
        </w:rPr>
        <w:t xml:space="preserve">inland </w:t>
      </w:r>
      <w:r w:rsidR="00EF7646">
        <w:rPr>
          <w:rFonts w:eastAsiaTheme="minorEastAsia"/>
          <w:color w:val="000000" w:themeColor="text1"/>
          <w:sz w:val="24"/>
          <w:szCs w:val="24"/>
        </w:rPr>
        <w:t xml:space="preserve">and coastal </w:t>
      </w:r>
      <w:r w:rsidR="005E637C" w:rsidRPr="001E366B">
        <w:rPr>
          <w:rFonts w:eastAsiaTheme="minorEastAsia"/>
          <w:color w:val="000000" w:themeColor="text1"/>
          <w:sz w:val="24"/>
          <w:szCs w:val="24"/>
        </w:rPr>
        <w:t>regional</w:t>
      </w:r>
      <w:r w:rsidR="00EF7646">
        <w:rPr>
          <w:rFonts w:eastAsiaTheme="minorEastAsia"/>
          <w:color w:val="000000" w:themeColor="text1"/>
          <w:sz w:val="24"/>
          <w:szCs w:val="24"/>
        </w:rPr>
        <w:t xml:space="preserve">, </w:t>
      </w:r>
      <w:proofErr w:type="gramStart"/>
      <w:r w:rsidR="00EF7646">
        <w:rPr>
          <w:rFonts w:eastAsiaTheme="minorEastAsia"/>
          <w:color w:val="000000" w:themeColor="text1"/>
          <w:sz w:val="24"/>
          <w:szCs w:val="24"/>
        </w:rPr>
        <w:t>rural</w:t>
      </w:r>
      <w:proofErr w:type="gramEnd"/>
      <w:r w:rsidR="00EF7646">
        <w:rPr>
          <w:rFonts w:eastAsiaTheme="minorEastAsia"/>
          <w:color w:val="000000" w:themeColor="text1"/>
          <w:sz w:val="24"/>
          <w:szCs w:val="24"/>
        </w:rPr>
        <w:t xml:space="preserve"> and remote </w:t>
      </w:r>
      <w:r w:rsidR="005E637C" w:rsidRPr="001E366B">
        <w:rPr>
          <w:rFonts w:eastAsiaTheme="minorEastAsia"/>
          <w:color w:val="000000" w:themeColor="text1"/>
          <w:sz w:val="24"/>
          <w:szCs w:val="24"/>
        </w:rPr>
        <w:t>communit</w:t>
      </w:r>
      <w:r w:rsidR="00EF7646">
        <w:rPr>
          <w:rFonts w:eastAsiaTheme="minorEastAsia"/>
          <w:color w:val="000000" w:themeColor="text1"/>
          <w:sz w:val="24"/>
          <w:szCs w:val="24"/>
        </w:rPr>
        <w:t>ies.</w:t>
      </w:r>
      <w:r w:rsidRPr="001E366B">
        <w:rPr>
          <w:rFonts w:eastAsiaTheme="minorEastAsia"/>
          <w:color w:val="000000" w:themeColor="text1"/>
          <w:sz w:val="24"/>
          <w:szCs w:val="24"/>
        </w:rPr>
        <w:t xml:space="preserve"> The</w:t>
      </w:r>
      <w:r w:rsidR="00EF7646">
        <w:rPr>
          <w:rFonts w:eastAsiaTheme="minorEastAsia"/>
          <w:color w:val="000000" w:themeColor="text1"/>
          <w:sz w:val="24"/>
          <w:szCs w:val="24"/>
        </w:rPr>
        <w:t>y</w:t>
      </w:r>
      <w:r w:rsidRPr="001E366B">
        <w:rPr>
          <w:rFonts w:eastAsiaTheme="minorEastAsia"/>
          <w:color w:val="000000" w:themeColor="text1"/>
          <w:sz w:val="24"/>
          <w:szCs w:val="24"/>
        </w:rPr>
        <w:t xml:space="preserve"> </w:t>
      </w:r>
      <w:r w:rsidR="00E15678">
        <w:rPr>
          <w:rFonts w:eastAsiaTheme="minorEastAsia"/>
          <w:color w:val="000000" w:themeColor="text1"/>
          <w:sz w:val="24"/>
          <w:szCs w:val="24"/>
        </w:rPr>
        <w:t>are</w:t>
      </w:r>
      <w:r w:rsidR="00E15678" w:rsidRPr="001E366B">
        <w:rPr>
          <w:rFonts w:eastAsiaTheme="minorEastAsia"/>
          <w:color w:val="000000" w:themeColor="text1"/>
          <w:sz w:val="24"/>
          <w:szCs w:val="24"/>
        </w:rPr>
        <w:t xml:space="preserve"> </w:t>
      </w:r>
      <w:r w:rsidRPr="001E366B">
        <w:rPr>
          <w:rFonts w:eastAsiaTheme="minorEastAsia"/>
          <w:color w:val="000000" w:themeColor="text1"/>
          <w:sz w:val="24"/>
          <w:szCs w:val="24"/>
        </w:rPr>
        <w:t xml:space="preserve">broadly reflective of other parts of </w:t>
      </w:r>
      <w:r w:rsidR="00E15678">
        <w:rPr>
          <w:rFonts w:eastAsiaTheme="minorEastAsia"/>
          <w:color w:val="000000" w:themeColor="text1"/>
          <w:sz w:val="24"/>
          <w:szCs w:val="24"/>
        </w:rPr>
        <w:t>non-metropolitan</w:t>
      </w:r>
      <w:r w:rsidRPr="001E366B">
        <w:rPr>
          <w:rFonts w:eastAsiaTheme="minorEastAsia"/>
          <w:color w:val="000000" w:themeColor="text1"/>
          <w:sz w:val="24"/>
          <w:szCs w:val="24"/>
        </w:rPr>
        <w:t xml:space="preserve"> Australia</w:t>
      </w:r>
      <w:r w:rsidR="7F11A8AA" w:rsidRPr="001E366B">
        <w:rPr>
          <w:rFonts w:eastAsiaTheme="minorEastAsia"/>
          <w:color w:val="000000" w:themeColor="text1"/>
          <w:sz w:val="24"/>
          <w:szCs w:val="24"/>
        </w:rPr>
        <w:t>,</w:t>
      </w:r>
      <w:r w:rsidRPr="001E366B">
        <w:rPr>
          <w:rFonts w:eastAsiaTheme="minorEastAsia"/>
          <w:color w:val="000000" w:themeColor="text1"/>
          <w:sz w:val="24"/>
          <w:szCs w:val="24"/>
        </w:rPr>
        <w:t xml:space="preserve"> and the </w:t>
      </w:r>
      <w:r w:rsidR="00EF7646">
        <w:rPr>
          <w:sz w:val="24"/>
          <w:szCs w:val="24"/>
        </w:rPr>
        <w:t>demography</w:t>
      </w:r>
      <w:r w:rsidR="00E15678" w:rsidRPr="001E366B">
        <w:rPr>
          <w:sz w:val="24"/>
          <w:szCs w:val="24"/>
        </w:rPr>
        <w:t xml:space="preserve"> of the pharmacy workforce </w:t>
      </w:r>
      <w:r w:rsidR="00EF7646">
        <w:rPr>
          <w:sz w:val="24"/>
          <w:szCs w:val="24"/>
        </w:rPr>
        <w:t>bears similarities</w:t>
      </w:r>
      <w:r w:rsidR="00E15678" w:rsidRPr="001E366B">
        <w:rPr>
          <w:sz w:val="24"/>
          <w:szCs w:val="24"/>
        </w:rPr>
        <w:t xml:space="preserve"> </w:t>
      </w:r>
      <w:r w:rsidR="009E21D0">
        <w:rPr>
          <w:sz w:val="24"/>
          <w:szCs w:val="24"/>
        </w:rPr>
        <w:t xml:space="preserve">to </w:t>
      </w:r>
      <w:r w:rsidR="00E15678" w:rsidRPr="001E366B">
        <w:rPr>
          <w:sz w:val="24"/>
          <w:szCs w:val="24"/>
        </w:rPr>
        <w:t xml:space="preserve">the national </w:t>
      </w:r>
      <w:r w:rsidR="00E15678" w:rsidRPr="001E366B">
        <w:rPr>
          <w:rFonts w:eastAsiaTheme="minorEastAsia"/>
          <w:color w:val="000000" w:themeColor="text1"/>
          <w:sz w:val="24"/>
          <w:szCs w:val="24"/>
        </w:rPr>
        <w:t xml:space="preserve">2018/19 </w:t>
      </w:r>
      <w:r w:rsidR="00E15678" w:rsidRPr="001E366B">
        <w:rPr>
          <w:sz w:val="24"/>
          <w:szCs w:val="24"/>
        </w:rPr>
        <w:t xml:space="preserve">AHPRA workforce </w:t>
      </w:r>
      <w:proofErr w:type="gramStart"/>
      <w:r w:rsidR="00E15678" w:rsidRPr="001E366B">
        <w:rPr>
          <w:sz w:val="24"/>
          <w:szCs w:val="24"/>
        </w:rPr>
        <w:t>data</w:t>
      </w:r>
      <w:r w:rsidR="009D0559">
        <w:rPr>
          <w:sz w:val="24"/>
          <w:szCs w:val="24"/>
        </w:rPr>
        <w:t>[</w:t>
      </w:r>
      <w:proofErr w:type="gramEnd"/>
      <w:r w:rsidR="009D0559">
        <w:rPr>
          <w:sz w:val="24"/>
          <w:szCs w:val="24"/>
        </w:rPr>
        <w:t>2]</w:t>
      </w:r>
      <w:r w:rsidR="00E15678" w:rsidRPr="001E366B">
        <w:rPr>
          <w:sz w:val="24"/>
          <w:szCs w:val="24"/>
        </w:rPr>
        <w:t>.</w:t>
      </w:r>
      <w:r w:rsidR="009D0559">
        <w:rPr>
          <w:sz w:val="24"/>
          <w:szCs w:val="24"/>
        </w:rPr>
        <w:t xml:space="preserve"> </w:t>
      </w:r>
      <w:r w:rsidR="00E15678">
        <w:rPr>
          <w:sz w:val="24"/>
          <w:szCs w:val="24"/>
        </w:rPr>
        <w:t>Over</w:t>
      </w:r>
      <w:r w:rsidR="00E81487" w:rsidRPr="001E366B">
        <w:rPr>
          <w:sz w:val="24"/>
          <w:szCs w:val="24"/>
        </w:rPr>
        <w:t xml:space="preserve"> 60% of the survey respondents were in the prime </w:t>
      </w:r>
      <w:r w:rsidR="00E15678">
        <w:rPr>
          <w:sz w:val="24"/>
          <w:szCs w:val="24"/>
        </w:rPr>
        <w:t xml:space="preserve">working </w:t>
      </w:r>
      <w:r w:rsidR="00E81487" w:rsidRPr="001E366B">
        <w:rPr>
          <w:sz w:val="24"/>
          <w:szCs w:val="24"/>
        </w:rPr>
        <w:t>years of 25 an</w:t>
      </w:r>
      <w:r w:rsidR="00CE610C" w:rsidRPr="001E366B">
        <w:rPr>
          <w:sz w:val="24"/>
          <w:szCs w:val="24"/>
        </w:rPr>
        <w:t>d</w:t>
      </w:r>
      <w:r w:rsidR="00E81487" w:rsidRPr="001E366B">
        <w:rPr>
          <w:sz w:val="24"/>
          <w:szCs w:val="24"/>
        </w:rPr>
        <w:t xml:space="preserve"> 45</w:t>
      </w:r>
      <w:r w:rsidR="00E15678">
        <w:rPr>
          <w:sz w:val="24"/>
          <w:szCs w:val="24"/>
        </w:rPr>
        <w:t>. P</w:t>
      </w:r>
      <w:r w:rsidR="00E81487" w:rsidRPr="001E366B">
        <w:rPr>
          <w:sz w:val="24"/>
          <w:szCs w:val="24"/>
        </w:rPr>
        <w:t xml:space="preserve">revious studies </w:t>
      </w:r>
      <w:r w:rsidR="00E15678" w:rsidRPr="001E366B">
        <w:rPr>
          <w:sz w:val="24"/>
          <w:szCs w:val="24"/>
        </w:rPr>
        <w:t>ha</w:t>
      </w:r>
      <w:r w:rsidR="00E15678">
        <w:rPr>
          <w:sz w:val="24"/>
          <w:szCs w:val="24"/>
        </w:rPr>
        <w:t>d</w:t>
      </w:r>
      <w:r w:rsidR="00E15678" w:rsidRPr="001E366B">
        <w:rPr>
          <w:sz w:val="24"/>
          <w:szCs w:val="24"/>
        </w:rPr>
        <w:t xml:space="preserve"> </w:t>
      </w:r>
      <w:r w:rsidR="00E81487" w:rsidRPr="001E366B">
        <w:rPr>
          <w:sz w:val="24"/>
          <w:szCs w:val="24"/>
        </w:rPr>
        <w:t xml:space="preserve">suggested an </w:t>
      </w:r>
      <w:r w:rsidR="00E15678" w:rsidRPr="001E366B">
        <w:rPr>
          <w:sz w:val="24"/>
          <w:szCs w:val="24"/>
        </w:rPr>
        <w:t>age</w:t>
      </w:r>
      <w:r w:rsidR="00E15678">
        <w:rPr>
          <w:sz w:val="24"/>
          <w:szCs w:val="24"/>
        </w:rPr>
        <w:t>d</w:t>
      </w:r>
      <w:r w:rsidR="00E15678" w:rsidRPr="001E366B">
        <w:rPr>
          <w:sz w:val="24"/>
          <w:szCs w:val="24"/>
        </w:rPr>
        <w:t xml:space="preserve"> </w:t>
      </w:r>
      <w:r w:rsidR="00E81487" w:rsidRPr="001E366B">
        <w:rPr>
          <w:sz w:val="24"/>
          <w:szCs w:val="24"/>
        </w:rPr>
        <w:t>rural pharmacy workforce</w:t>
      </w:r>
      <w:r w:rsidR="00E15678">
        <w:rPr>
          <w:sz w:val="24"/>
          <w:szCs w:val="24"/>
        </w:rPr>
        <w:t xml:space="preserve"> in similar regions</w:t>
      </w:r>
      <w:r w:rsidR="00015400" w:rsidRPr="001E366B">
        <w:rPr>
          <w:sz w:val="24"/>
          <w:szCs w:val="24"/>
        </w:rPr>
        <w:t xml:space="preserve">. Data collected in 2005 in Northern NSW showed an </w:t>
      </w:r>
      <w:r w:rsidR="00015400" w:rsidRPr="001E366B">
        <w:rPr>
          <w:sz w:val="24"/>
          <w:szCs w:val="24"/>
        </w:rPr>
        <w:lastRenderedPageBreak/>
        <w:t>average age fo</w:t>
      </w:r>
      <w:r w:rsidR="00881A77" w:rsidRPr="001E366B">
        <w:rPr>
          <w:sz w:val="24"/>
          <w:szCs w:val="24"/>
        </w:rPr>
        <w:t xml:space="preserve">r pharmacists of 51 </w:t>
      </w:r>
      <w:proofErr w:type="gramStart"/>
      <w:r w:rsidR="00881A77" w:rsidRPr="001E366B">
        <w:rPr>
          <w:sz w:val="24"/>
          <w:szCs w:val="24"/>
        </w:rPr>
        <w:t>years</w:t>
      </w:r>
      <w:r w:rsidR="009D0559">
        <w:rPr>
          <w:sz w:val="24"/>
          <w:szCs w:val="24"/>
        </w:rPr>
        <w:t>[</w:t>
      </w:r>
      <w:proofErr w:type="gramEnd"/>
      <w:r w:rsidR="009D0559">
        <w:rPr>
          <w:sz w:val="24"/>
          <w:szCs w:val="24"/>
        </w:rPr>
        <w:t>24]</w:t>
      </w:r>
      <w:r w:rsidR="00E81487" w:rsidRPr="001E366B">
        <w:rPr>
          <w:sz w:val="24"/>
          <w:szCs w:val="24"/>
        </w:rPr>
        <w:t xml:space="preserve"> </w:t>
      </w:r>
      <w:r w:rsidR="00A2378E" w:rsidRPr="001E366B">
        <w:rPr>
          <w:sz w:val="24"/>
          <w:szCs w:val="24"/>
        </w:rPr>
        <w:t>and a</w:t>
      </w:r>
      <w:r w:rsidR="00015400" w:rsidRPr="001E366B">
        <w:rPr>
          <w:sz w:val="24"/>
          <w:szCs w:val="24"/>
        </w:rPr>
        <w:t xml:space="preserve"> follow-up study in </w:t>
      </w:r>
      <w:r w:rsidR="00E15678">
        <w:rPr>
          <w:sz w:val="24"/>
          <w:szCs w:val="24"/>
        </w:rPr>
        <w:t>that</w:t>
      </w:r>
      <w:r w:rsidR="00015400" w:rsidRPr="001E366B">
        <w:rPr>
          <w:sz w:val="24"/>
          <w:szCs w:val="24"/>
        </w:rPr>
        <w:t xml:space="preserve"> region 3 years later showed a mean age of 58 years</w:t>
      </w:r>
      <w:r w:rsidR="009D0559">
        <w:rPr>
          <w:sz w:val="24"/>
          <w:szCs w:val="24"/>
        </w:rPr>
        <w:t>[25]</w:t>
      </w:r>
      <w:r w:rsidR="0024306E" w:rsidRPr="001E366B">
        <w:rPr>
          <w:sz w:val="24"/>
          <w:szCs w:val="24"/>
        </w:rPr>
        <w:t xml:space="preserve">. </w:t>
      </w:r>
      <w:r w:rsidR="00586237">
        <w:rPr>
          <w:sz w:val="24"/>
          <w:szCs w:val="24"/>
        </w:rPr>
        <w:t>A</w:t>
      </w:r>
      <w:r w:rsidR="00874342" w:rsidRPr="001E366B">
        <w:rPr>
          <w:sz w:val="24"/>
          <w:szCs w:val="24"/>
        </w:rPr>
        <w:t>nother survey of rural and remote pharmacists f</w:t>
      </w:r>
      <w:r w:rsidR="00881A77" w:rsidRPr="001E366B">
        <w:rPr>
          <w:sz w:val="24"/>
          <w:szCs w:val="24"/>
        </w:rPr>
        <w:t xml:space="preserve">ound </w:t>
      </w:r>
      <w:r w:rsidR="00586237">
        <w:rPr>
          <w:sz w:val="24"/>
          <w:szCs w:val="24"/>
        </w:rPr>
        <w:t xml:space="preserve">a mean </w:t>
      </w:r>
      <w:r w:rsidR="00881A77" w:rsidRPr="001E366B">
        <w:rPr>
          <w:sz w:val="24"/>
          <w:szCs w:val="24"/>
        </w:rPr>
        <w:t xml:space="preserve">55.8 </w:t>
      </w:r>
      <w:proofErr w:type="gramStart"/>
      <w:r w:rsidR="00881A77" w:rsidRPr="001E366B">
        <w:rPr>
          <w:sz w:val="24"/>
          <w:szCs w:val="24"/>
        </w:rPr>
        <w:t>years</w:t>
      </w:r>
      <w:r w:rsidR="009D0559">
        <w:rPr>
          <w:sz w:val="24"/>
          <w:szCs w:val="24"/>
        </w:rPr>
        <w:t>[</w:t>
      </w:r>
      <w:proofErr w:type="gramEnd"/>
      <w:r w:rsidR="009D0559">
        <w:rPr>
          <w:sz w:val="24"/>
          <w:szCs w:val="24"/>
        </w:rPr>
        <w:t>26]</w:t>
      </w:r>
      <w:r w:rsidR="00874342" w:rsidRPr="001E366B">
        <w:rPr>
          <w:sz w:val="24"/>
          <w:szCs w:val="24"/>
        </w:rPr>
        <w:t xml:space="preserve">, which the authors suggested </w:t>
      </w:r>
      <w:r w:rsidR="00586237" w:rsidRPr="001E366B">
        <w:rPr>
          <w:sz w:val="24"/>
          <w:szCs w:val="24"/>
        </w:rPr>
        <w:t>reflect</w:t>
      </w:r>
      <w:r w:rsidR="00586237">
        <w:rPr>
          <w:sz w:val="24"/>
          <w:szCs w:val="24"/>
        </w:rPr>
        <w:t>ed</w:t>
      </w:r>
      <w:r w:rsidR="00586237" w:rsidRPr="001E366B">
        <w:rPr>
          <w:sz w:val="24"/>
          <w:szCs w:val="24"/>
        </w:rPr>
        <w:t xml:space="preserve"> </w:t>
      </w:r>
      <w:r w:rsidR="00874342" w:rsidRPr="001E366B">
        <w:rPr>
          <w:sz w:val="24"/>
          <w:szCs w:val="24"/>
        </w:rPr>
        <w:t xml:space="preserve">that rural and remote pharmacists are generally older than the national average. </w:t>
      </w:r>
    </w:p>
    <w:p w14:paraId="191964BA" w14:textId="5938C734" w:rsidR="009246D6" w:rsidRPr="001E366B" w:rsidRDefault="00E81487" w:rsidP="00177CAC">
      <w:pPr>
        <w:spacing w:after="120" w:line="360" w:lineRule="auto"/>
        <w:textAlignment w:val="baseline"/>
        <w:rPr>
          <w:rFonts w:ascii="Calibri" w:eastAsia="Calibri" w:hAnsi="Calibri" w:cs="Calibri"/>
          <w:sz w:val="24"/>
          <w:szCs w:val="24"/>
          <w:highlight w:val="yellow"/>
        </w:rPr>
      </w:pPr>
      <w:r w:rsidRPr="001E366B">
        <w:rPr>
          <w:sz w:val="24"/>
          <w:szCs w:val="24"/>
        </w:rPr>
        <w:t>The results suggest a stable core of practising</w:t>
      </w:r>
      <w:r w:rsidR="005E637C" w:rsidRPr="001E366B">
        <w:rPr>
          <w:sz w:val="24"/>
          <w:szCs w:val="24"/>
        </w:rPr>
        <w:t>,</w:t>
      </w:r>
      <w:r w:rsidRPr="001E366B">
        <w:rPr>
          <w:sz w:val="24"/>
          <w:szCs w:val="24"/>
        </w:rPr>
        <w:t xml:space="preserve"> </w:t>
      </w:r>
      <w:r w:rsidR="00AF22A4" w:rsidRPr="001E366B">
        <w:rPr>
          <w:sz w:val="24"/>
          <w:szCs w:val="24"/>
        </w:rPr>
        <w:t>mostly</w:t>
      </w:r>
      <w:r w:rsidR="00184014" w:rsidRPr="001E366B">
        <w:rPr>
          <w:sz w:val="24"/>
          <w:szCs w:val="24"/>
        </w:rPr>
        <w:t xml:space="preserve"> </w:t>
      </w:r>
      <w:r w:rsidRPr="001E366B">
        <w:rPr>
          <w:sz w:val="24"/>
          <w:szCs w:val="24"/>
        </w:rPr>
        <w:t>female</w:t>
      </w:r>
      <w:r w:rsidR="00A52459" w:rsidRPr="001E366B">
        <w:rPr>
          <w:sz w:val="24"/>
          <w:szCs w:val="24"/>
        </w:rPr>
        <w:t xml:space="preserve"> </w:t>
      </w:r>
      <w:r w:rsidR="00893CCF" w:rsidRPr="001E366B">
        <w:rPr>
          <w:sz w:val="24"/>
          <w:szCs w:val="24"/>
        </w:rPr>
        <w:t xml:space="preserve">(&gt; 60%) </w:t>
      </w:r>
      <w:r w:rsidRPr="001E366B">
        <w:rPr>
          <w:sz w:val="24"/>
          <w:szCs w:val="24"/>
        </w:rPr>
        <w:t>pharmacists</w:t>
      </w:r>
      <w:r w:rsidR="005E637C" w:rsidRPr="001E366B">
        <w:rPr>
          <w:sz w:val="24"/>
          <w:szCs w:val="24"/>
        </w:rPr>
        <w:t>,</w:t>
      </w:r>
      <w:r w:rsidR="00A20EF7" w:rsidRPr="001E366B">
        <w:rPr>
          <w:sz w:val="24"/>
          <w:szCs w:val="24"/>
        </w:rPr>
        <w:t xml:space="preserve"> </w:t>
      </w:r>
      <w:r w:rsidR="00586237">
        <w:rPr>
          <w:sz w:val="24"/>
          <w:szCs w:val="24"/>
        </w:rPr>
        <w:t xml:space="preserve">with </w:t>
      </w:r>
      <w:r w:rsidR="005E637C" w:rsidRPr="001E366B">
        <w:rPr>
          <w:sz w:val="24"/>
          <w:szCs w:val="24"/>
        </w:rPr>
        <w:t xml:space="preserve">less than 20% considering retirement </w:t>
      </w:r>
      <w:r w:rsidR="00586237">
        <w:rPr>
          <w:sz w:val="24"/>
          <w:szCs w:val="24"/>
        </w:rPr>
        <w:t>within</w:t>
      </w:r>
      <w:r w:rsidR="005E637C" w:rsidRPr="001E366B">
        <w:rPr>
          <w:sz w:val="24"/>
          <w:szCs w:val="24"/>
        </w:rPr>
        <w:t xml:space="preserve"> five years. </w:t>
      </w:r>
      <w:r w:rsidR="007C717A" w:rsidRPr="001E366B">
        <w:rPr>
          <w:sz w:val="24"/>
          <w:szCs w:val="24"/>
        </w:rPr>
        <w:t xml:space="preserve">The </w:t>
      </w:r>
      <w:r w:rsidR="00893CCF" w:rsidRPr="001E366B">
        <w:rPr>
          <w:sz w:val="24"/>
          <w:szCs w:val="24"/>
        </w:rPr>
        <w:t xml:space="preserve">average hours worked per week and </w:t>
      </w:r>
      <w:r w:rsidR="00017BC5" w:rsidRPr="001E366B">
        <w:rPr>
          <w:sz w:val="24"/>
          <w:szCs w:val="24"/>
        </w:rPr>
        <w:t>d</w:t>
      </w:r>
      <w:r w:rsidR="007C717A" w:rsidRPr="001E366B">
        <w:rPr>
          <w:sz w:val="24"/>
          <w:szCs w:val="24"/>
        </w:rPr>
        <w:t>istribution</w:t>
      </w:r>
      <w:r w:rsidR="00586237">
        <w:rPr>
          <w:sz w:val="24"/>
          <w:szCs w:val="24"/>
        </w:rPr>
        <w:t>s</w:t>
      </w:r>
      <w:r w:rsidR="007C717A" w:rsidRPr="001E366B">
        <w:rPr>
          <w:sz w:val="24"/>
          <w:szCs w:val="24"/>
        </w:rPr>
        <w:t xml:space="preserve"> of hours worked </w:t>
      </w:r>
      <w:r w:rsidR="00586237">
        <w:rPr>
          <w:sz w:val="24"/>
          <w:szCs w:val="24"/>
        </w:rPr>
        <w:t>by</w:t>
      </w:r>
      <w:r w:rsidR="00586237" w:rsidRPr="001E366B">
        <w:rPr>
          <w:sz w:val="24"/>
          <w:szCs w:val="24"/>
        </w:rPr>
        <w:t xml:space="preserve"> </w:t>
      </w:r>
      <w:r w:rsidR="007C717A" w:rsidRPr="001E366B">
        <w:rPr>
          <w:sz w:val="24"/>
          <w:szCs w:val="24"/>
        </w:rPr>
        <w:t xml:space="preserve">males and females were similar </w:t>
      </w:r>
      <w:r w:rsidR="00586237">
        <w:rPr>
          <w:sz w:val="24"/>
          <w:szCs w:val="24"/>
        </w:rPr>
        <w:t xml:space="preserve">to previous </w:t>
      </w:r>
      <w:proofErr w:type="gramStart"/>
      <w:r w:rsidR="00586237">
        <w:rPr>
          <w:sz w:val="24"/>
          <w:szCs w:val="24"/>
        </w:rPr>
        <w:t>studies</w:t>
      </w:r>
      <w:r w:rsidR="009D0559">
        <w:rPr>
          <w:sz w:val="24"/>
          <w:szCs w:val="24"/>
        </w:rPr>
        <w:t>[</w:t>
      </w:r>
      <w:proofErr w:type="gramEnd"/>
      <w:r w:rsidR="009D0559">
        <w:rPr>
          <w:sz w:val="24"/>
          <w:szCs w:val="24"/>
        </w:rPr>
        <w:t xml:space="preserve">27, pp.12-13] </w:t>
      </w:r>
      <w:r w:rsidR="00C33CB6">
        <w:rPr>
          <w:sz w:val="24"/>
          <w:szCs w:val="24"/>
        </w:rPr>
        <w:t>and,</w:t>
      </w:r>
      <w:r w:rsidR="007A310A" w:rsidRPr="001E366B">
        <w:rPr>
          <w:sz w:val="24"/>
          <w:szCs w:val="24"/>
        </w:rPr>
        <w:t xml:space="preserve"> in</w:t>
      </w:r>
      <w:r w:rsidR="00761F67" w:rsidRPr="001E366B">
        <w:rPr>
          <w:sz w:val="24"/>
          <w:szCs w:val="24"/>
        </w:rPr>
        <w:t xml:space="preserve"> </w:t>
      </w:r>
      <w:r w:rsidR="007A310A" w:rsidRPr="001E366B">
        <w:rPr>
          <w:sz w:val="24"/>
          <w:szCs w:val="24"/>
        </w:rPr>
        <w:t>this study</w:t>
      </w:r>
      <w:r w:rsidR="00C33CB6">
        <w:rPr>
          <w:sz w:val="24"/>
          <w:szCs w:val="24"/>
        </w:rPr>
        <w:t>,</w:t>
      </w:r>
      <w:r w:rsidR="007A310A" w:rsidRPr="001E366B">
        <w:rPr>
          <w:sz w:val="24"/>
          <w:szCs w:val="24"/>
        </w:rPr>
        <w:t xml:space="preserve"> the mean hours worked by females was no different to males. This seems contrary to the perception that feminisation of the pharmacist workforce leads to a decrease in </w:t>
      </w:r>
      <w:r w:rsidR="00C33CB6">
        <w:rPr>
          <w:sz w:val="24"/>
          <w:szCs w:val="24"/>
        </w:rPr>
        <w:t>workforce</w:t>
      </w:r>
      <w:r w:rsidR="00881A77" w:rsidRPr="001E366B">
        <w:rPr>
          <w:sz w:val="24"/>
          <w:szCs w:val="24"/>
        </w:rPr>
        <w:t xml:space="preserve"> participation </w:t>
      </w:r>
      <w:proofErr w:type="gramStart"/>
      <w:r w:rsidR="00881A77" w:rsidRPr="001E366B">
        <w:rPr>
          <w:sz w:val="24"/>
          <w:szCs w:val="24"/>
        </w:rPr>
        <w:t>rate</w:t>
      </w:r>
      <w:r w:rsidR="000F16FE">
        <w:rPr>
          <w:sz w:val="24"/>
          <w:szCs w:val="24"/>
        </w:rPr>
        <w:t>s</w:t>
      </w:r>
      <w:r w:rsidR="009D0559">
        <w:rPr>
          <w:sz w:val="24"/>
          <w:szCs w:val="24"/>
        </w:rPr>
        <w:t>[</w:t>
      </w:r>
      <w:proofErr w:type="gramEnd"/>
      <w:r w:rsidR="009D0559">
        <w:rPr>
          <w:sz w:val="24"/>
          <w:szCs w:val="24"/>
        </w:rPr>
        <w:t>6]</w:t>
      </w:r>
      <w:r w:rsidR="007A310A" w:rsidRPr="001E366B">
        <w:rPr>
          <w:sz w:val="24"/>
          <w:szCs w:val="24"/>
        </w:rPr>
        <w:t xml:space="preserve">. While a greater proportion of females </w:t>
      </w:r>
      <w:r w:rsidR="00C33CB6" w:rsidRPr="001E366B">
        <w:rPr>
          <w:sz w:val="24"/>
          <w:szCs w:val="24"/>
        </w:rPr>
        <w:t>work</w:t>
      </w:r>
      <w:r w:rsidR="00C33CB6">
        <w:rPr>
          <w:sz w:val="24"/>
          <w:szCs w:val="24"/>
        </w:rPr>
        <w:t>ed</w:t>
      </w:r>
      <w:r w:rsidR="00C33CB6" w:rsidRPr="001E366B">
        <w:rPr>
          <w:sz w:val="24"/>
          <w:szCs w:val="24"/>
        </w:rPr>
        <w:t xml:space="preserve"> </w:t>
      </w:r>
      <w:r w:rsidR="007A310A" w:rsidRPr="001E366B">
        <w:rPr>
          <w:sz w:val="24"/>
          <w:szCs w:val="24"/>
        </w:rPr>
        <w:t xml:space="preserve">less than 20 hours per week, a </w:t>
      </w:r>
      <w:r w:rsidR="000F16FE">
        <w:rPr>
          <w:sz w:val="24"/>
          <w:szCs w:val="24"/>
        </w:rPr>
        <w:t>higher</w:t>
      </w:r>
      <w:r w:rsidR="000F16FE" w:rsidRPr="001E366B">
        <w:rPr>
          <w:sz w:val="24"/>
          <w:szCs w:val="24"/>
        </w:rPr>
        <w:t xml:space="preserve"> </w:t>
      </w:r>
      <w:r w:rsidR="007A310A" w:rsidRPr="001E366B">
        <w:rPr>
          <w:sz w:val="24"/>
          <w:szCs w:val="24"/>
        </w:rPr>
        <w:t xml:space="preserve">proportion of males </w:t>
      </w:r>
      <w:r w:rsidR="00C33CB6" w:rsidRPr="001E366B">
        <w:rPr>
          <w:sz w:val="24"/>
          <w:szCs w:val="24"/>
        </w:rPr>
        <w:t>work</w:t>
      </w:r>
      <w:r w:rsidR="00C33CB6">
        <w:rPr>
          <w:sz w:val="24"/>
          <w:szCs w:val="24"/>
        </w:rPr>
        <w:t>ed</w:t>
      </w:r>
      <w:r w:rsidR="00C33CB6" w:rsidRPr="001E366B">
        <w:rPr>
          <w:sz w:val="24"/>
          <w:szCs w:val="24"/>
        </w:rPr>
        <w:t xml:space="preserve"> </w:t>
      </w:r>
      <w:r w:rsidR="007A310A" w:rsidRPr="001E366B">
        <w:rPr>
          <w:sz w:val="24"/>
          <w:szCs w:val="24"/>
        </w:rPr>
        <w:t xml:space="preserve">between 20 and 34 hours per week, less than full-time </w:t>
      </w:r>
      <w:r w:rsidR="00C33CB6">
        <w:rPr>
          <w:sz w:val="24"/>
          <w:szCs w:val="24"/>
        </w:rPr>
        <w:t>equivalent</w:t>
      </w:r>
      <w:r w:rsidR="007A310A" w:rsidRPr="001E366B">
        <w:rPr>
          <w:sz w:val="24"/>
          <w:szCs w:val="24"/>
        </w:rPr>
        <w:t>.</w:t>
      </w:r>
    </w:p>
    <w:p w14:paraId="20E0350F" w14:textId="162DF7FE" w:rsidR="001451F6" w:rsidRPr="001E366B" w:rsidRDefault="00093C56" w:rsidP="00177CAC">
      <w:pPr>
        <w:spacing w:after="120" w:line="360" w:lineRule="auto"/>
        <w:textAlignment w:val="baseline"/>
        <w:rPr>
          <w:sz w:val="24"/>
          <w:szCs w:val="24"/>
        </w:rPr>
      </w:pPr>
      <w:r w:rsidRPr="001E366B">
        <w:rPr>
          <w:sz w:val="24"/>
          <w:szCs w:val="24"/>
        </w:rPr>
        <w:t>As o</w:t>
      </w:r>
      <w:r w:rsidR="00A2378E" w:rsidRPr="001E366B">
        <w:rPr>
          <w:sz w:val="24"/>
          <w:szCs w:val="24"/>
        </w:rPr>
        <w:t>ne respondent commented,</w:t>
      </w:r>
      <w:r w:rsidRPr="001E366B">
        <w:rPr>
          <w:sz w:val="24"/>
          <w:szCs w:val="24"/>
        </w:rPr>
        <w:t xml:space="preserve"> attracting young pharmacists to rural area</w:t>
      </w:r>
      <w:r w:rsidR="00075988">
        <w:rPr>
          <w:sz w:val="24"/>
          <w:szCs w:val="24"/>
        </w:rPr>
        <w:t>s</w:t>
      </w:r>
      <w:r w:rsidRPr="001E366B">
        <w:rPr>
          <w:sz w:val="24"/>
          <w:szCs w:val="24"/>
        </w:rPr>
        <w:t xml:space="preserve"> is </w:t>
      </w:r>
      <w:r w:rsidR="00075988">
        <w:rPr>
          <w:sz w:val="24"/>
          <w:szCs w:val="24"/>
        </w:rPr>
        <w:t>difficult</w:t>
      </w:r>
      <w:r w:rsidRPr="001E366B">
        <w:rPr>
          <w:sz w:val="24"/>
          <w:szCs w:val="24"/>
        </w:rPr>
        <w:t>, a</w:t>
      </w:r>
      <w:r w:rsidR="00075988">
        <w:rPr>
          <w:sz w:val="24"/>
          <w:szCs w:val="24"/>
        </w:rPr>
        <w:t>s</w:t>
      </w:r>
      <w:r w:rsidRPr="001E366B">
        <w:rPr>
          <w:sz w:val="24"/>
          <w:szCs w:val="24"/>
        </w:rPr>
        <w:t xml:space="preserve"> is well represented in the </w:t>
      </w:r>
      <w:proofErr w:type="gramStart"/>
      <w:r w:rsidRPr="001E366B">
        <w:rPr>
          <w:sz w:val="24"/>
          <w:szCs w:val="24"/>
        </w:rPr>
        <w:t>literature</w:t>
      </w:r>
      <w:r w:rsidR="00E16696">
        <w:rPr>
          <w:sz w:val="24"/>
          <w:szCs w:val="24"/>
        </w:rPr>
        <w:t>[</w:t>
      </w:r>
      <w:proofErr w:type="gramEnd"/>
      <w:r w:rsidR="00E16696">
        <w:rPr>
          <w:sz w:val="24"/>
          <w:szCs w:val="24"/>
        </w:rPr>
        <w:t>28,29,30]</w:t>
      </w:r>
      <w:r w:rsidR="00E16E56" w:rsidRPr="001E366B">
        <w:rPr>
          <w:sz w:val="24"/>
          <w:szCs w:val="24"/>
        </w:rPr>
        <w:t>.</w:t>
      </w:r>
      <w:r w:rsidR="00881A77" w:rsidRPr="001E366B">
        <w:rPr>
          <w:sz w:val="24"/>
          <w:szCs w:val="24"/>
          <w:vertAlign w:val="superscript"/>
        </w:rPr>
        <w:t xml:space="preserve"> </w:t>
      </w:r>
      <w:r w:rsidR="00C70347">
        <w:rPr>
          <w:sz w:val="24"/>
          <w:szCs w:val="24"/>
        </w:rPr>
        <w:t>N</w:t>
      </w:r>
      <w:r w:rsidR="0019401A" w:rsidRPr="001E366B">
        <w:rPr>
          <w:sz w:val="24"/>
          <w:szCs w:val="24"/>
        </w:rPr>
        <w:t>early half</w:t>
      </w:r>
      <w:r w:rsidR="001016DA" w:rsidRPr="001E366B">
        <w:rPr>
          <w:sz w:val="24"/>
          <w:szCs w:val="24"/>
        </w:rPr>
        <w:t xml:space="preserve"> the respondents considered that they needed more pharmacists. </w:t>
      </w:r>
      <w:r w:rsidR="00C70347">
        <w:rPr>
          <w:sz w:val="24"/>
          <w:szCs w:val="24"/>
        </w:rPr>
        <w:t>E</w:t>
      </w:r>
      <w:r w:rsidR="00C270EC" w:rsidRPr="001E366B">
        <w:rPr>
          <w:sz w:val="24"/>
          <w:szCs w:val="24"/>
        </w:rPr>
        <w:t>fforts</w:t>
      </w:r>
      <w:r w:rsidR="00E51D31" w:rsidRPr="001E366B">
        <w:rPr>
          <w:sz w:val="24"/>
          <w:szCs w:val="24"/>
        </w:rPr>
        <w:t xml:space="preserve"> to </w:t>
      </w:r>
      <w:r w:rsidR="00874342" w:rsidRPr="001E366B">
        <w:rPr>
          <w:sz w:val="24"/>
          <w:szCs w:val="24"/>
        </w:rPr>
        <w:t xml:space="preserve">build the rural </w:t>
      </w:r>
      <w:r w:rsidR="00E51D31" w:rsidRPr="001E366B">
        <w:rPr>
          <w:sz w:val="24"/>
          <w:szCs w:val="24"/>
        </w:rPr>
        <w:t>pharmacy workforce</w:t>
      </w:r>
      <w:r w:rsidR="00A2378E" w:rsidRPr="001E366B">
        <w:rPr>
          <w:sz w:val="24"/>
          <w:szCs w:val="24"/>
        </w:rPr>
        <w:t xml:space="preserve"> </w:t>
      </w:r>
      <w:r w:rsidR="00C70347">
        <w:rPr>
          <w:sz w:val="24"/>
          <w:szCs w:val="24"/>
        </w:rPr>
        <w:t xml:space="preserve">are </w:t>
      </w:r>
      <w:r w:rsidR="005274CC" w:rsidRPr="001E366B">
        <w:rPr>
          <w:sz w:val="24"/>
          <w:szCs w:val="24"/>
        </w:rPr>
        <w:t>ongoing</w:t>
      </w:r>
      <w:r w:rsidR="00C70347">
        <w:rPr>
          <w:sz w:val="24"/>
          <w:szCs w:val="24"/>
        </w:rPr>
        <w:t>. T</w:t>
      </w:r>
      <w:r w:rsidR="00D06F8A" w:rsidRPr="001E366B">
        <w:rPr>
          <w:sz w:val="24"/>
          <w:szCs w:val="24"/>
        </w:rPr>
        <w:t>he number of pharmacy schools</w:t>
      </w:r>
      <w:r w:rsidR="007B00DA" w:rsidRPr="001E366B">
        <w:rPr>
          <w:sz w:val="24"/>
          <w:szCs w:val="24"/>
        </w:rPr>
        <w:t xml:space="preserve"> in Australia</w:t>
      </w:r>
      <w:r w:rsidR="00D06F8A" w:rsidRPr="001E366B">
        <w:rPr>
          <w:sz w:val="24"/>
          <w:szCs w:val="24"/>
        </w:rPr>
        <w:t xml:space="preserve"> has more than doubled in the last 15 years</w:t>
      </w:r>
      <w:r w:rsidR="007E0955" w:rsidRPr="001E366B">
        <w:rPr>
          <w:sz w:val="24"/>
          <w:szCs w:val="24"/>
        </w:rPr>
        <w:t>,</w:t>
      </w:r>
      <w:r w:rsidR="00D06F8A" w:rsidRPr="001E366B">
        <w:rPr>
          <w:sz w:val="24"/>
          <w:szCs w:val="24"/>
        </w:rPr>
        <w:t xml:space="preserve"> </w:t>
      </w:r>
      <w:r w:rsidR="00874342" w:rsidRPr="001E366B">
        <w:rPr>
          <w:sz w:val="24"/>
          <w:szCs w:val="24"/>
        </w:rPr>
        <w:t>with some</w:t>
      </w:r>
      <w:r w:rsidR="007E0955" w:rsidRPr="001E366B">
        <w:rPr>
          <w:sz w:val="24"/>
          <w:szCs w:val="24"/>
        </w:rPr>
        <w:t xml:space="preserve"> </w:t>
      </w:r>
      <w:r w:rsidR="0011733B" w:rsidRPr="001E366B">
        <w:rPr>
          <w:sz w:val="24"/>
          <w:szCs w:val="24"/>
        </w:rPr>
        <w:t xml:space="preserve">established in regional </w:t>
      </w:r>
      <w:proofErr w:type="gramStart"/>
      <w:r w:rsidR="00874342" w:rsidRPr="001E366B">
        <w:rPr>
          <w:sz w:val="24"/>
          <w:szCs w:val="24"/>
        </w:rPr>
        <w:t>locations</w:t>
      </w:r>
      <w:r w:rsidR="00E16696">
        <w:rPr>
          <w:sz w:val="24"/>
          <w:szCs w:val="24"/>
        </w:rPr>
        <w:t>[</w:t>
      </w:r>
      <w:proofErr w:type="gramEnd"/>
      <w:r w:rsidR="00E16696">
        <w:rPr>
          <w:sz w:val="24"/>
          <w:szCs w:val="24"/>
        </w:rPr>
        <w:t>26,31]</w:t>
      </w:r>
      <w:r w:rsidR="00C70347">
        <w:rPr>
          <w:sz w:val="24"/>
          <w:szCs w:val="24"/>
        </w:rPr>
        <w:t>,</w:t>
      </w:r>
      <w:r w:rsidR="0011733B" w:rsidRPr="001E366B">
        <w:rPr>
          <w:sz w:val="24"/>
          <w:szCs w:val="24"/>
        </w:rPr>
        <w:t xml:space="preserve"> </w:t>
      </w:r>
      <w:r w:rsidR="00C70347">
        <w:rPr>
          <w:sz w:val="24"/>
          <w:szCs w:val="24"/>
        </w:rPr>
        <w:t xml:space="preserve">and </w:t>
      </w:r>
      <w:r w:rsidR="001016DA" w:rsidRPr="001E366B">
        <w:rPr>
          <w:sz w:val="24"/>
          <w:szCs w:val="24"/>
        </w:rPr>
        <w:t>graduate</w:t>
      </w:r>
      <w:r w:rsidR="00C70347">
        <w:rPr>
          <w:sz w:val="24"/>
          <w:szCs w:val="24"/>
        </w:rPr>
        <w:t xml:space="preserve"> numbers are </w:t>
      </w:r>
      <w:r w:rsidR="001016DA" w:rsidRPr="001E366B">
        <w:rPr>
          <w:sz w:val="24"/>
          <w:szCs w:val="24"/>
        </w:rPr>
        <w:t>at unprecedented levels.</w:t>
      </w:r>
      <w:r w:rsidR="00C70347">
        <w:rPr>
          <w:sz w:val="24"/>
          <w:szCs w:val="24"/>
        </w:rPr>
        <w:t xml:space="preserve"> I</w:t>
      </w:r>
      <w:r w:rsidR="005D7BDC" w:rsidRPr="001E366B">
        <w:rPr>
          <w:sz w:val="24"/>
          <w:szCs w:val="24"/>
        </w:rPr>
        <w:t xml:space="preserve">ncreased </w:t>
      </w:r>
      <w:r w:rsidR="00C70347">
        <w:rPr>
          <w:sz w:val="24"/>
          <w:szCs w:val="24"/>
        </w:rPr>
        <w:t>student</w:t>
      </w:r>
      <w:r w:rsidR="00C70347" w:rsidRPr="001E366B">
        <w:rPr>
          <w:sz w:val="24"/>
          <w:szCs w:val="24"/>
        </w:rPr>
        <w:t xml:space="preserve"> and</w:t>
      </w:r>
      <w:r w:rsidR="00C70347">
        <w:rPr>
          <w:sz w:val="24"/>
          <w:szCs w:val="24"/>
        </w:rPr>
        <w:t xml:space="preserve"> intern</w:t>
      </w:r>
      <w:r w:rsidR="00C70347" w:rsidRPr="001E366B">
        <w:rPr>
          <w:sz w:val="24"/>
          <w:szCs w:val="24"/>
        </w:rPr>
        <w:t xml:space="preserve"> </w:t>
      </w:r>
      <w:r w:rsidR="005D7BDC" w:rsidRPr="001E366B">
        <w:rPr>
          <w:sz w:val="24"/>
          <w:szCs w:val="24"/>
        </w:rPr>
        <w:t>number</w:t>
      </w:r>
      <w:r w:rsidR="00C70347">
        <w:rPr>
          <w:sz w:val="24"/>
          <w:szCs w:val="24"/>
        </w:rPr>
        <w:t>s</w:t>
      </w:r>
      <w:r w:rsidR="005D7BDC" w:rsidRPr="001E366B">
        <w:rPr>
          <w:sz w:val="24"/>
          <w:szCs w:val="24"/>
        </w:rPr>
        <w:t xml:space="preserve"> promises </w:t>
      </w:r>
      <w:r w:rsidR="001679F2" w:rsidRPr="001E366B">
        <w:rPr>
          <w:sz w:val="24"/>
          <w:szCs w:val="24"/>
        </w:rPr>
        <w:t xml:space="preserve">long-term </w:t>
      </w:r>
      <w:r w:rsidR="005D7BDC" w:rsidRPr="001E366B">
        <w:rPr>
          <w:sz w:val="24"/>
          <w:szCs w:val="24"/>
        </w:rPr>
        <w:t>benefits</w:t>
      </w:r>
      <w:r w:rsidR="001679F2" w:rsidRPr="001E366B">
        <w:rPr>
          <w:sz w:val="24"/>
          <w:szCs w:val="24"/>
        </w:rPr>
        <w:t xml:space="preserve">, with </w:t>
      </w:r>
      <w:r w:rsidR="00A2378E" w:rsidRPr="001E366B">
        <w:rPr>
          <w:sz w:val="24"/>
          <w:szCs w:val="24"/>
        </w:rPr>
        <w:t xml:space="preserve">the hope that </w:t>
      </w:r>
      <w:r w:rsidR="00C70347">
        <w:rPr>
          <w:sz w:val="24"/>
          <w:szCs w:val="24"/>
        </w:rPr>
        <w:t>a</w:t>
      </w:r>
      <w:r w:rsidR="00C70347" w:rsidRPr="001E366B">
        <w:rPr>
          <w:sz w:val="24"/>
          <w:szCs w:val="24"/>
        </w:rPr>
        <w:t xml:space="preserve"> </w:t>
      </w:r>
      <w:r w:rsidR="00B25ABB" w:rsidRPr="001E366B">
        <w:rPr>
          <w:sz w:val="24"/>
          <w:szCs w:val="24"/>
        </w:rPr>
        <w:t>‘</w:t>
      </w:r>
      <w:r w:rsidR="00761F67" w:rsidRPr="001E366B">
        <w:rPr>
          <w:sz w:val="24"/>
          <w:szCs w:val="24"/>
        </w:rPr>
        <w:t>trickle</w:t>
      </w:r>
      <w:r w:rsidR="00B25ABB" w:rsidRPr="001E366B">
        <w:rPr>
          <w:sz w:val="24"/>
          <w:szCs w:val="24"/>
        </w:rPr>
        <w:t>-</w:t>
      </w:r>
      <w:r w:rsidR="00761F67" w:rsidRPr="001E366B">
        <w:rPr>
          <w:sz w:val="24"/>
          <w:szCs w:val="24"/>
        </w:rPr>
        <w:t>down</w:t>
      </w:r>
      <w:r w:rsidR="00B25ABB" w:rsidRPr="001E366B">
        <w:rPr>
          <w:sz w:val="24"/>
          <w:szCs w:val="24"/>
        </w:rPr>
        <w:t xml:space="preserve"> effect’</w:t>
      </w:r>
      <w:r w:rsidR="006B3AA0" w:rsidRPr="001E366B">
        <w:rPr>
          <w:sz w:val="24"/>
          <w:szCs w:val="24"/>
        </w:rPr>
        <w:t xml:space="preserve"> will </w:t>
      </w:r>
      <w:r w:rsidR="00C70347">
        <w:rPr>
          <w:sz w:val="24"/>
          <w:szCs w:val="24"/>
        </w:rPr>
        <w:t>lead to more graduates</w:t>
      </w:r>
      <w:r w:rsidR="005D7BDC" w:rsidRPr="001E366B">
        <w:rPr>
          <w:sz w:val="24"/>
          <w:szCs w:val="24"/>
        </w:rPr>
        <w:t xml:space="preserve"> </w:t>
      </w:r>
      <w:r w:rsidR="006B3AA0" w:rsidRPr="001E366B">
        <w:rPr>
          <w:sz w:val="24"/>
          <w:szCs w:val="24"/>
        </w:rPr>
        <w:t>entering</w:t>
      </w:r>
      <w:r w:rsidR="005D7BDC" w:rsidRPr="001E366B">
        <w:rPr>
          <w:sz w:val="24"/>
          <w:szCs w:val="24"/>
        </w:rPr>
        <w:t xml:space="preserve"> rural practice</w:t>
      </w:r>
      <w:r w:rsidR="00A2378E" w:rsidRPr="001E366B">
        <w:rPr>
          <w:sz w:val="24"/>
          <w:szCs w:val="24"/>
        </w:rPr>
        <w:t xml:space="preserve"> in the future</w:t>
      </w:r>
      <w:r w:rsidR="005D7BDC" w:rsidRPr="001E366B">
        <w:rPr>
          <w:sz w:val="24"/>
          <w:szCs w:val="24"/>
        </w:rPr>
        <w:t xml:space="preserve">. </w:t>
      </w:r>
      <w:r w:rsidR="00B25ABB" w:rsidRPr="001E366B">
        <w:rPr>
          <w:sz w:val="24"/>
          <w:szCs w:val="24"/>
        </w:rPr>
        <w:t xml:space="preserve">However, </w:t>
      </w:r>
      <w:r w:rsidR="00AA66CD">
        <w:rPr>
          <w:sz w:val="24"/>
          <w:szCs w:val="24"/>
        </w:rPr>
        <w:t xml:space="preserve">passive </w:t>
      </w:r>
      <w:r w:rsidR="00B25ABB" w:rsidRPr="001E366B">
        <w:rPr>
          <w:sz w:val="24"/>
          <w:szCs w:val="24"/>
        </w:rPr>
        <w:t xml:space="preserve">trickle-down </w:t>
      </w:r>
      <w:r w:rsidR="00E33486" w:rsidRPr="001E366B">
        <w:rPr>
          <w:sz w:val="24"/>
          <w:szCs w:val="24"/>
        </w:rPr>
        <w:t>theory</w:t>
      </w:r>
      <w:r w:rsidR="00AA66CD">
        <w:rPr>
          <w:sz w:val="24"/>
          <w:szCs w:val="24"/>
        </w:rPr>
        <w:t>, with</w:t>
      </w:r>
      <w:r w:rsidR="00E33486" w:rsidRPr="001E366B">
        <w:rPr>
          <w:sz w:val="24"/>
          <w:szCs w:val="24"/>
        </w:rPr>
        <w:t xml:space="preserve"> </w:t>
      </w:r>
      <w:r w:rsidR="00B25ABB" w:rsidRPr="001E366B">
        <w:rPr>
          <w:sz w:val="24"/>
          <w:szCs w:val="24"/>
        </w:rPr>
        <w:t>overflow of practitioners into rural practice</w:t>
      </w:r>
      <w:r w:rsidR="000F16FE">
        <w:rPr>
          <w:sz w:val="24"/>
          <w:szCs w:val="24"/>
        </w:rPr>
        <w:t>,</w:t>
      </w:r>
      <w:r w:rsidR="00B25ABB" w:rsidRPr="001E366B">
        <w:rPr>
          <w:sz w:val="24"/>
          <w:szCs w:val="24"/>
        </w:rPr>
        <w:t xml:space="preserve"> has been </w:t>
      </w:r>
      <w:proofErr w:type="gramStart"/>
      <w:r w:rsidR="001451F6" w:rsidRPr="001E366B">
        <w:rPr>
          <w:sz w:val="24"/>
          <w:szCs w:val="24"/>
        </w:rPr>
        <w:t>questioned</w:t>
      </w:r>
      <w:r w:rsidR="00E16696">
        <w:rPr>
          <w:sz w:val="24"/>
          <w:szCs w:val="24"/>
        </w:rPr>
        <w:t>[</w:t>
      </w:r>
      <w:proofErr w:type="gramEnd"/>
      <w:r w:rsidR="000B2F79">
        <w:rPr>
          <w:sz w:val="24"/>
          <w:szCs w:val="24"/>
        </w:rPr>
        <w:t>3</w:t>
      </w:r>
      <w:r w:rsidR="00531B1C">
        <w:rPr>
          <w:sz w:val="24"/>
          <w:szCs w:val="24"/>
        </w:rPr>
        <w:t>2</w:t>
      </w:r>
      <w:r w:rsidR="00E16696">
        <w:rPr>
          <w:sz w:val="24"/>
          <w:szCs w:val="24"/>
        </w:rPr>
        <w:t>]</w:t>
      </w:r>
      <w:r w:rsidR="001451F6" w:rsidRPr="001E366B">
        <w:rPr>
          <w:sz w:val="24"/>
          <w:szCs w:val="24"/>
        </w:rPr>
        <w:t xml:space="preserve"> and largely </w:t>
      </w:r>
      <w:r w:rsidR="00B25ABB" w:rsidRPr="001E366B">
        <w:rPr>
          <w:sz w:val="24"/>
          <w:szCs w:val="24"/>
        </w:rPr>
        <w:t xml:space="preserve">refuted </w:t>
      </w:r>
      <w:r w:rsidR="001451F6" w:rsidRPr="001E366B">
        <w:rPr>
          <w:sz w:val="24"/>
          <w:szCs w:val="24"/>
        </w:rPr>
        <w:t xml:space="preserve">as an effective solution </w:t>
      </w:r>
      <w:r w:rsidR="00AA66CD">
        <w:rPr>
          <w:sz w:val="24"/>
          <w:szCs w:val="24"/>
        </w:rPr>
        <w:t>to</w:t>
      </w:r>
      <w:r w:rsidR="00AA66CD" w:rsidRPr="001E366B">
        <w:rPr>
          <w:sz w:val="24"/>
          <w:szCs w:val="24"/>
        </w:rPr>
        <w:t xml:space="preserve"> </w:t>
      </w:r>
      <w:r w:rsidR="00B25ABB" w:rsidRPr="001E366B">
        <w:rPr>
          <w:sz w:val="24"/>
          <w:szCs w:val="24"/>
        </w:rPr>
        <w:t xml:space="preserve">the </w:t>
      </w:r>
      <w:r w:rsidR="00AA66CD" w:rsidRPr="001E366B">
        <w:rPr>
          <w:sz w:val="24"/>
          <w:szCs w:val="24"/>
        </w:rPr>
        <w:t xml:space="preserve">rural medical workforce </w:t>
      </w:r>
      <w:r w:rsidR="001451F6" w:rsidRPr="001E366B">
        <w:rPr>
          <w:sz w:val="24"/>
          <w:szCs w:val="24"/>
        </w:rPr>
        <w:t>shortage</w:t>
      </w:r>
      <w:r w:rsidR="00E16696">
        <w:rPr>
          <w:sz w:val="24"/>
          <w:szCs w:val="24"/>
        </w:rPr>
        <w:t>[33,34].</w:t>
      </w:r>
      <w:r w:rsidR="009E21D0">
        <w:rPr>
          <w:sz w:val="24"/>
          <w:szCs w:val="24"/>
        </w:rPr>
        <w:t xml:space="preserve"> </w:t>
      </w:r>
      <w:r w:rsidR="00B25ABB" w:rsidRPr="001E366B">
        <w:rPr>
          <w:sz w:val="24"/>
          <w:szCs w:val="24"/>
        </w:rPr>
        <w:t>Rather,</w:t>
      </w:r>
      <w:r w:rsidR="005D7BDC" w:rsidRPr="001E366B">
        <w:rPr>
          <w:sz w:val="24"/>
          <w:szCs w:val="24"/>
        </w:rPr>
        <w:t xml:space="preserve"> there is a need for </w:t>
      </w:r>
      <w:r w:rsidR="00B25ABB" w:rsidRPr="001E366B">
        <w:rPr>
          <w:sz w:val="24"/>
          <w:szCs w:val="24"/>
        </w:rPr>
        <w:t>affirmative action. S</w:t>
      </w:r>
      <w:r w:rsidR="006B3AA0" w:rsidRPr="001E366B">
        <w:rPr>
          <w:sz w:val="24"/>
          <w:szCs w:val="24"/>
        </w:rPr>
        <w:t>tudents</w:t>
      </w:r>
      <w:r w:rsidR="005D7BDC" w:rsidRPr="001E366B">
        <w:rPr>
          <w:sz w:val="24"/>
          <w:szCs w:val="24"/>
        </w:rPr>
        <w:t xml:space="preserve"> </w:t>
      </w:r>
      <w:r w:rsidR="00B25ABB" w:rsidRPr="001E366B">
        <w:rPr>
          <w:sz w:val="24"/>
          <w:szCs w:val="24"/>
        </w:rPr>
        <w:t xml:space="preserve">and early career practitioners </w:t>
      </w:r>
      <w:r w:rsidR="00AA66CD">
        <w:rPr>
          <w:sz w:val="24"/>
          <w:szCs w:val="24"/>
        </w:rPr>
        <w:t>must</w:t>
      </w:r>
      <w:r w:rsidR="005D7BDC" w:rsidRPr="001E366B">
        <w:rPr>
          <w:sz w:val="24"/>
          <w:szCs w:val="24"/>
        </w:rPr>
        <w:t xml:space="preserve"> experience rural practice and lifestyle, the challenge </w:t>
      </w:r>
      <w:r w:rsidR="0051600E" w:rsidRPr="001E366B">
        <w:rPr>
          <w:sz w:val="24"/>
          <w:szCs w:val="24"/>
        </w:rPr>
        <w:t>being to</w:t>
      </w:r>
      <w:r w:rsidR="00AA66CD">
        <w:rPr>
          <w:sz w:val="24"/>
          <w:szCs w:val="24"/>
        </w:rPr>
        <w:t xml:space="preserve"> </w:t>
      </w:r>
      <w:r w:rsidR="005D7BDC" w:rsidRPr="001E366B">
        <w:rPr>
          <w:sz w:val="24"/>
          <w:szCs w:val="24"/>
        </w:rPr>
        <w:t xml:space="preserve">get </w:t>
      </w:r>
      <w:r w:rsidR="000F16FE">
        <w:rPr>
          <w:sz w:val="24"/>
          <w:szCs w:val="24"/>
        </w:rPr>
        <w:t xml:space="preserve">them </w:t>
      </w:r>
      <w:r w:rsidR="005D7BDC" w:rsidRPr="001E366B">
        <w:rPr>
          <w:sz w:val="24"/>
          <w:szCs w:val="24"/>
        </w:rPr>
        <w:t>into regional</w:t>
      </w:r>
      <w:r w:rsidR="001679F2" w:rsidRPr="001E366B">
        <w:rPr>
          <w:sz w:val="24"/>
          <w:szCs w:val="24"/>
        </w:rPr>
        <w:t>,</w:t>
      </w:r>
      <w:r w:rsidR="005D7BDC" w:rsidRPr="001E366B">
        <w:rPr>
          <w:sz w:val="24"/>
          <w:szCs w:val="24"/>
        </w:rPr>
        <w:t xml:space="preserve"> </w:t>
      </w:r>
      <w:proofErr w:type="gramStart"/>
      <w:r w:rsidR="005D7BDC" w:rsidRPr="001E366B">
        <w:rPr>
          <w:sz w:val="24"/>
          <w:szCs w:val="24"/>
        </w:rPr>
        <w:t>rural</w:t>
      </w:r>
      <w:proofErr w:type="gramEnd"/>
      <w:r w:rsidR="005D7BDC" w:rsidRPr="001E366B">
        <w:rPr>
          <w:sz w:val="24"/>
          <w:szCs w:val="24"/>
        </w:rPr>
        <w:t xml:space="preserve"> and remote areas for part o</w:t>
      </w:r>
      <w:r w:rsidR="001451F6" w:rsidRPr="001E366B">
        <w:rPr>
          <w:sz w:val="24"/>
          <w:szCs w:val="24"/>
        </w:rPr>
        <w:t>f their education and training.</w:t>
      </w:r>
    </w:p>
    <w:p w14:paraId="54C61116" w14:textId="48156A96" w:rsidR="00800BEF" w:rsidRPr="001E366B" w:rsidRDefault="005C2CD3" w:rsidP="00177CAC">
      <w:pPr>
        <w:spacing w:after="120" w:line="360" w:lineRule="auto"/>
        <w:textAlignment w:val="baseline"/>
        <w:rPr>
          <w:sz w:val="24"/>
          <w:szCs w:val="24"/>
        </w:rPr>
      </w:pPr>
      <w:r>
        <w:rPr>
          <w:sz w:val="24"/>
          <w:szCs w:val="24"/>
        </w:rPr>
        <w:t>T</w:t>
      </w:r>
      <w:r w:rsidR="001451F6" w:rsidRPr="001E366B">
        <w:rPr>
          <w:sz w:val="24"/>
          <w:szCs w:val="24"/>
        </w:rPr>
        <w:t>here was evidence in this</w:t>
      </w:r>
      <w:r w:rsidR="005D7BDC" w:rsidRPr="001E366B">
        <w:rPr>
          <w:sz w:val="24"/>
          <w:szCs w:val="24"/>
        </w:rPr>
        <w:t xml:space="preserve"> </w:t>
      </w:r>
      <w:r w:rsidR="00BC6769">
        <w:rPr>
          <w:sz w:val="24"/>
          <w:szCs w:val="24"/>
        </w:rPr>
        <w:t>project</w:t>
      </w:r>
      <w:r w:rsidR="005D7BDC" w:rsidRPr="001E366B">
        <w:rPr>
          <w:sz w:val="24"/>
          <w:szCs w:val="24"/>
        </w:rPr>
        <w:t xml:space="preserve"> of some under-utilisation of </w:t>
      </w:r>
      <w:r w:rsidR="000F16FE">
        <w:rPr>
          <w:sz w:val="24"/>
          <w:szCs w:val="24"/>
        </w:rPr>
        <w:t xml:space="preserve">rural </w:t>
      </w:r>
      <w:r w:rsidR="005D7BDC" w:rsidRPr="001E366B">
        <w:rPr>
          <w:sz w:val="24"/>
          <w:szCs w:val="24"/>
        </w:rPr>
        <w:t>student placement</w:t>
      </w:r>
      <w:r>
        <w:rPr>
          <w:sz w:val="24"/>
          <w:szCs w:val="24"/>
        </w:rPr>
        <w:t>s</w:t>
      </w:r>
      <w:r w:rsidR="005D7BDC" w:rsidRPr="001E366B">
        <w:rPr>
          <w:sz w:val="24"/>
          <w:szCs w:val="24"/>
        </w:rPr>
        <w:t xml:space="preserve"> and internship</w:t>
      </w:r>
      <w:r>
        <w:rPr>
          <w:sz w:val="24"/>
          <w:szCs w:val="24"/>
        </w:rPr>
        <w:t xml:space="preserve"> opportunities</w:t>
      </w:r>
      <w:r w:rsidR="005D7BDC" w:rsidRPr="001E366B">
        <w:rPr>
          <w:sz w:val="24"/>
          <w:szCs w:val="24"/>
        </w:rPr>
        <w:t xml:space="preserve">. </w:t>
      </w:r>
      <w:r>
        <w:rPr>
          <w:sz w:val="24"/>
          <w:szCs w:val="24"/>
        </w:rPr>
        <w:t>P</w:t>
      </w:r>
      <w:r w:rsidR="001679F2" w:rsidRPr="001E366B">
        <w:rPr>
          <w:sz w:val="24"/>
          <w:szCs w:val="24"/>
        </w:rPr>
        <w:t xml:space="preserve">harmacists willing </w:t>
      </w:r>
      <w:r w:rsidR="00234B7D" w:rsidRPr="001E366B">
        <w:rPr>
          <w:sz w:val="24"/>
          <w:szCs w:val="24"/>
        </w:rPr>
        <w:t xml:space="preserve">to </w:t>
      </w:r>
      <w:r w:rsidR="005D7BDC" w:rsidRPr="001E366B">
        <w:rPr>
          <w:sz w:val="24"/>
          <w:szCs w:val="24"/>
        </w:rPr>
        <w:t>provide student</w:t>
      </w:r>
      <w:r w:rsidR="004A160C" w:rsidRPr="001E366B">
        <w:rPr>
          <w:sz w:val="24"/>
          <w:szCs w:val="24"/>
        </w:rPr>
        <w:t xml:space="preserve"> </w:t>
      </w:r>
      <w:r w:rsidR="000F311D" w:rsidRPr="001E366B">
        <w:rPr>
          <w:sz w:val="24"/>
          <w:szCs w:val="24"/>
        </w:rPr>
        <w:t xml:space="preserve">and intern </w:t>
      </w:r>
      <w:r>
        <w:rPr>
          <w:sz w:val="24"/>
          <w:szCs w:val="24"/>
        </w:rPr>
        <w:t>preceptorship</w:t>
      </w:r>
      <w:r w:rsidR="0094295D" w:rsidRPr="001E366B">
        <w:rPr>
          <w:sz w:val="24"/>
          <w:szCs w:val="24"/>
        </w:rPr>
        <w:t xml:space="preserve"> excee</w:t>
      </w:r>
      <w:r w:rsidR="003C2328" w:rsidRPr="001E366B">
        <w:rPr>
          <w:sz w:val="24"/>
          <w:szCs w:val="24"/>
        </w:rPr>
        <w:t>ded</w:t>
      </w:r>
      <w:r w:rsidR="0094295D" w:rsidRPr="001E366B">
        <w:rPr>
          <w:sz w:val="24"/>
          <w:szCs w:val="24"/>
        </w:rPr>
        <w:t xml:space="preserve"> </w:t>
      </w:r>
      <w:r w:rsidR="00585B72" w:rsidRPr="001E366B">
        <w:rPr>
          <w:sz w:val="24"/>
          <w:szCs w:val="24"/>
        </w:rPr>
        <w:t xml:space="preserve">the number </w:t>
      </w:r>
      <w:r>
        <w:rPr>
          <w:sz w:val="24"/>
          <w:szCs w:val="24"/>
        </w:rPr>
        <w:t xml:space="preserve">with </w:t>
      </w:r>
      <w:r w:rsidR="00C52E70" w:rsidRPr="001E366B">
        <w:rPr>
          <w:sz w:val="24"/>
          <w:szCs w:val="24"/>
        </w:rPr>
        <w:t>an acti</w:t>
      </w:r>
      <w:r w:rsidR="00F9694A" w:rsidRPr="001E366B">
        <w:rPr>
          <w:sz w:val="24"/>
          <w:szCs w:val="24"/>
        </w:rPr>
        <w:t>v</w:t>
      </w:r>
      <w:r w:rsidR="00C52E70" w:rsidRPr="001E366B">
        <w:rPr>
          <w:sz w:val="24"/>
          <w:szCs w:val="24"/>
        </w:rPr>
        <w:t xml:space="preserve">e </w:t>
      </w:r>
      <w:r w:rsidR="000F16FE">
        <w:rPr>
          <w:sz w:val="24"/>
          <w:szCs w:val="24"/>
        </w:rPr>
        <w:t xml:space="preserve">preceptor </w:t>
      </w:r>
      <w:r w:rsidR="00C52E70" w:rsidRPr="001E366B">
        <w:rPr>
          <w:sz w:val="24"/>
          <w:szCs w:val="24"/>
        </w:rPr>
        <w:t xml:space="preserve">role. </w:t>
      </w:r>
      <w:r w:rsidR="001679F2" w:rsidRPr="001E366B">
        <w:rPr>
          <w:sz w:val="24"/>
          <w:szCs w:val="24"/>
        </w:rPr>
        <w:t>There is a</w:t>
      </w:r>
      <w:r w:rsidR="009E21D0">
        <w:rPr>
          <w:sz w:val="24"/>
          <w:szCs w:val="24"/>
        </w:rPr>
        <w:t xml:space="preserve"> need for further investigation and i</w:t>
      </w:r>
      <w:r w:rsidR="001679F2" w:rsidRPr="001E366B">
        <w:rPr>
          <w:sz w:val="24"/>
          <w:szCs w:val="24"/>
        </w:rPr>
        <w:t xml:space="preserve">f similar under-utilisation </w:t>
      </w:r>
      <w:r>
        <w:rPr>
          <w:sz w:val="24"/>
          <w:szCs w:val="24"/>
        </w:rPr>
        <w:t xml:space="preserve">occurs in </w:t>
      </w:r>
      <w:r w:rsidR="008178B7" w:rsidRPr="001E366B">
        <w:rPr>
          <w:sz w:val="24"/>
          <w:szCs w:val="24"/>
        </w:rPr>
        <w:t xml:space="preserve">other regional, </w:t>
      </w:r>
      <w:proofErr w:type="gramStart"/>
      <w:r w:rsidR="008178B7" w:rsidRPr="001E366B">
        <w:rPr>
          <w:sz w:val="24"/>
          <w:szCs w:val="24"/>
        </w:rPr>
        <w:t>rural</w:t>
      </w:r>
      <w:proofErr w:type="gramEnd"/>
      <w:r w:rsidR="008178B7" w:rsidRPr="001E366B">
        <w:rPr>
          <w:sz w:val="24"/>
          <w:szCs w:val="24"/>
        </w:rPr>
        <w:t xml:space="preserve"> and remote </w:t>
      </w:r>
      <w:r>
        <w:rPr>
          <w:sz w:val="24"/>
          <w:szCs w:val="24"/>
        </w:rPr>
        <w:t>regions</w:t>
      </w:r>
      <w:r w:rsidR="001679F2" w:rsidRPr="001E366B">
        <w:rPr>
          <w:sz w:val="24"/>
          <w:szCs w:val="24"/>
        </w:rPr>
        <w:t>,</w:t>
      </w:r>
      <w:r w:rsidR="008178B7" w:rsidRPr="001E366B">
        <w:rPr>
          <w:sz w:val="24"/>
          <w:szCs w:val="24"/>
        </w:rPr>
        <w:t xml:space="preserve"> it </w:t>
      </w:r>
      <w:r>
        <w:rPr>
          <w:sz w:val="24"/>
          <w:szCs w:val="24"/>
        </w:rPr>
        <w:t>may</w:t>
      </w:r>
      <w:r w:rsidRPr="001E366B">
        <w:rPr>
          <w:sz w:val="24"/>
          <w:szCs w:val="24"/>
        </w:rPr>
        <w:t xml:space="preserve"> </w:t>
      </w:r>
      <w:r w:rsidR="008178B7" w:rsidRPr="001E366B">
        <w:rPr>
          <w:sz w:val="24"/>
          <w:szCs w:val="24"/>
        </w:rPr>
        <w:t>be argued that more work is required</w:t>
      </w:r>
      <w:r w:rsidR="001679F2" w:rsidRPr="001E366B">
        <w:rPr>
          <w:sz w:val="24"/>
          <w:szCs w:val="24"/>
        </w:rPr>
        <w:t xml:space="preserve"> to increase</w:t>
      </w:r>
      <w:r w:rsidR="008178B7" w:rsidRPr="001E366B">
        <w:rPr>
          <w:sz w:val="24"/>
          <w:szCs w:val="24"/>
        </w:rPr>
        <w:t xml:space="preserve"> student </w:t>
      </w:r>
      <w:r>
        <w:rPr>
          <w:sz w:val="24"/>
          <w:szCs w:val="24"/>
        </w:rPr>
        <w:t xml:space="preserve">and intern </w:t>
      </w:r>
      <w:r w:rsidR="008178B7" w:rsidRPr="001E366B">
        <w:rPr>
          <w:sz w:val="24"/>
          <w:szCs w:val="24"/>
        </w:rPr>
        <w:t xml:space="preserve">exposure to rural practice. </w:t>
      </w:r>
      <w:r>
        <w:rPr>
          <w:sz w:val="24"/>
          <w:szCs w:val="24"/>
        </w:rPr>
        <w:t>While p</w:t>
      </w:r>
      <w:r w:rsidR="008178B7" w:rsidRPr="001E366B">
        <w:rPr>
          <w:sz w:val="24"/>
          <w:szCs w:val="24"/>
        </w:rPr>
        <w:t xml:space="preserve">redictors of rural practice </w:t>
      </w:r>
      <w:r w:rsidR="0049597E" w:rsidRPr="001E366B">
        <w:rPr>
          <w:sz w:val="24"/>
          <w:szCs w:val="24"/>
        </w:rPr>
        <w:t>includ</w:t>
      </w:r>
      <w:r>
        <w:rPr>
          <w:sz w:val="24"/>
          <w:szCs w:val="24"/>
        </w:rPr>
        <w:t>e</w:t>
      </w:r>
      <w:r w:rsidR="008178B7" w:rsidRPr="001E366B">
        <w:rPr>
          <w:sz w:val="24"/>
          <w:szCs w:val="24"/>
        </w:rPr>
        <w:t xml:space="preserve"> rural origin and attending a rural </w:t>
      </w:r>
      <w:proofErr w:type="gramStart"/>
      <w:r w:rsidR="008178B7" w:rsidRPr="001E366B">
        <w:rPr>
          <w:sz w:val="24"/>
          <w:szCs w:val="24"/>
        </w:rPr>
        <w:t>university</w:t>
      </w:r>
      <w:r w:rsidR="00E16696">
        <w:rPr>
          <w:sz w:val="24"/>
          <w:szCs w:val="24"/>
        </w:rPr>
        <w:t>[</w:t>
      </w:r>
      <w:proofErr w:type="gramEnd"/>
      <w:r w:rsidR="00E16696">
        <w:rPr>
          <w:sz w:val="24"/>
          <w:szCs w:val="24"/>
        </w:rPr>
        <w:t>28]</w:t>
      </w:r>
      <w:r>
        <w:rPr>
          <w:sz w:val="24"/>
          <w:szCs w:val="24"/>
        </w:rPr>
        <w:t>,</w:t>
      </w:r>
      <w:r w:rsidR="001679F2" w:rsidRPr="001E366B">
        <w:rPr>
          <w:sz w:val="24"/>
          <w:szCs w:val="24"/>
        </w:rPr>
        <w:t xml:space="preserve"> </w:t>
      </w:r>
      <w:r w:rsidR="008178B7" w:rsidRPr="001E366B">
        <w:rPr>
          <w:sz w:val="24"/>
          <w:szCs w:val="24"/>
        </w:rPr>
        <w:lastRenderedPageBreak/>
        <w:t>compared to rural curriculum alone, a positive placement experience is strong</w:t>
      </w:r>
      <w:r>
        <w:rPr>
          <w:sz w:val="24"/>
          <w:szCs w:val="24"/>
        </w:rPr>
        <w:t>ly associated with</w:t>
      </w:r>
      <w:r w:rsidR="008178B7" w:rsidRPr="001E366B">
        <w:rPr>
          <w:sz w:val="24"/>
          <w:szCs w:val="24"/>
        </w:rPr>
        <w:t xml:space="preserve"> rural </w:t>
      </w:r>
      <w:r w:rsidR="000F16FE">
        <w:rPr>
          <w:sz w:val="24"/>
          <w:szCs w:val="24"/>
        </w:rPr>
        <w:t>practice intentions</w:t>
      </w:r>
      <w:r w:rsidR="00E16696">
        <w:rPr>
          <w:sz w:val="24"/>
          <w:szCs w:val="24"/>
        </w:rPr>
        <w:t>[29,31</w:t>
      </w:r>
      <w:r w:rsidR="00531B1C">
        <w:rPr>
          <w:sz w:val="24"/>
          <w:szCs w:val="24"/>
        </w:rPr>
        <w:t>,35</w:t>
      </w:r>
      <w:r w:rsidR="00E16696">
        <w:rPr>
          <w:sz w:val="24"/>
          <w:szCs w:val="24"/>
        </w:rPr>
        <w:t>]</w:t>
      </w:r>
      <w:r w:rsidR="008178B7" w:rsidRPr="001E366B">
        <w:rPr>
          <w:sz w:val="24"/>
          <w:szCs w:val="24"/>
        </w:rPr>
        <w:t xml:space="preserve">. </w:t>
      </w:r>
      <w:r w:rsidR="00B33FA3" w:rsidRPr="001E366B">
        <w:rPr>
          <w:sz w:val="24"/>
          <w:szCs w:val="24"/>
        </w:rPr>
        <w:t xml:space="preserve">Taylor </w:t>
      </w:r>
      <w:proofErr w:type="gramStart"/>
      <w:r w:rsidR="00B33FA3" w:rsidRPr="001E366B">
        <w:rPr>
          <w:sz w:val="24"/>
          <w:szCs w:val="24"/>
        </w:rPr>
        <w:t>et al.</w:t>
      </w:r>
      <w:r w:rsidR="00E16696">
        <w:rPr>
          <w:sz w:val="24"/>
          <w:szCs w:val="24"/>
        </w:rPr>
        <w:t>[</w:t>
      </w:r>
      <w:proofErr w:type="gramEnd"/>
      <w:r w:rsidR="00E16696">
        <w:rPr>
          <w:sz w:val="24"/>
          <w:szCs w:val="24"/>
        </w:rPr>
        <w:t>29]</w:t>
      </w:r>
      <w:r w:rsidR="001E246A" w:rsidRPr="001E366B">
        <w:rPr>
          <w:sz w:val="24"/>
          <w:szCs w:val="24"/>
        </w:rPr>
        <w:t xml:space="preserve"> reported that recent graduates who </w:t>
      </w:r>
      <w:r w:rsidR="00E66023">
        <w:rPr>
          <w:sz w:val="24"/>
          <w:szCs w:val="24"/>
        </w:rPr>
        <w:t>had</w:t>
      </w:r>
      <w:r w:rsidR="00E66023" w:rsidRPr="001E366B">
        <w:rPr>
          <w:sz w:val="24"/>
          <w:szCs w:val="24"/>
        </w:rPr>
        <w:t xml:space="preserve"> </w:t>
      </w:r>
      <w:r w:rsidR="001E246A" w:rsidRPr="001E366B">
        <w:rPr>
          <w:sz w:val="24"/>
          <w:szCs w:val="24"/>
        </w:rPr>
        <w:t xml:space="preserve">a rural placement </w:t>
      </w:r>
      <w:r>
        <w:rPr>
          <w:sz w:val="24"/>
          <w:szCs w:val="24"/>
        </w:rPr>
        <w:t xml:space="preserve">said </w:t>
      </w:r>
      <w:r w:rsidR="001E246A" w:rsidRPr="001E366B">
        <w:rPr>
          <w:sz w:val="24"/>
          <w:szCs w:val="24"/>
        </w:rPr>
        <w:t>it impacted on their decision to enter rural practice.</w:t>
      </w:r>
      <w:r w:rsidR="00AB70C4" w:rsidRPr="001E366B">
        <w:rPr>
          <w:sz w:val="24"/>
          <w:szCs w:val="24"/>
        </w:rPr>
        <w:t xml:space="preserve"> </w:t>
      </w:r>
      <w:r w:rsidR="006415C4">
        <w:rPr>
          <w:sz w:val="24"/>
          <w:szCs w:val="24"/>
        </w:rPr>
        <w:t>The</w:t>
      </w:r>
      <w:r w:rsidR="00E33486" w:rsidRPr="001E366B">
        <w:rPr>
          <w:sz w:val="24"/>
          <w:szCs w:val="24"/>
        </w:rPr>
        <w:t xml:space="preserve"> </w:t>
      </w:r>
      <w:r w:rsidR="00AB70C4" w:rsidRPr="001E366B">
        <w:rPr>
          <w:sz w:val="24"/>
          <w:szCs w:val="24"/>
        </w:rPr>
        <w:t xml:space="preserve">RPLOs are well </w:t>
      </w:r>
      <w:r w:rsidR="001161AD" w:rsidRPr="001E366B">
        <w:rPr>
          <w:sz w:val="24"/>
          <w:szCs w:val="24"/>
        </w:rPr>
        <w:t>placed</w:t>
      </w:r>
      <w:r w:rsidR="00AB70C4" w:rsidRPr="001E366B">
        <w:rPr>
          <w:sz w:val="24"/>
          <w:szCs w:val="24"/>
        </w:rPr>
        <w:t xml:space="preserve"> to </w:t>
      </w:r>
      <w:r w:rsidR="00E33486" w:rsidRPr="001E366B">
        <w:rPr>
          <w:sz w:val="24"/>
          <w:szCs w:val="24"/>
        </w:rPr>
        <w:t>support</w:t>
      </w:r>
      <w:r w:rsidR="00AB70C4" w:rsidRPr="001E366B">
        <w:rPr>
          <w:sz w:val="24"/>
          <w:szCs w:val="24"/>
        </w:rPr>
        <w:t xml:space="preserve"> the rural </w:t>
      </w:r>
      <w:r w:rsidR="00E33486" w:rsidRPr="001E366B">
        <w:rPr>
          <w:sz w:val="24"/>
          <w:szCs w:val="24"/>
        </w:rPr>
        <w:t xml:space="preserve">career </w:t>
      </w:r>
      <w:r w:rsidR="00AB70C4" w:rsidRPr="001E366B">
        <w:rPr>
          <w:sz w:val="24"/>
          <w:szCs w:val="24"/>
        </w:rPr>
        <w:t xml:space="preserve">pipeline, from </w:t>
      </w:r>
      <w:r w:rsidR="0019401A" w:rsidRPr="001E366B">
        <w:rPr>
          <w:sz w:val="24"/>
          <w:szCs w:val="24"/>
        </w:rPr>
        <w:t>student placement</w:t>
      </w:r>
      <w:r w:rsidR="006415C4">
        <w:rPr>
          <w:sz w:val="24"/>
          <w:szCs w:val="24"/>
        </w:rPr>
        <w:t>s</w:t>
      </w:r>
      <w:r w:rsidR="3E0EC922" w:rsidRPr="001E366B">
        <w:rPr>
          <w:sz w:val="24"/>
          <w:szCs w:val="24"/>
        </w:rPr>
        <w:t xml:space="preserve"> through </w:t>
      </w:r>
      <w:r w:rsidR="00AB70C4" w:rsidRPr="001E366B">
        <w:rPr>
          <w:sz w:val="24"/>
          <w:szCs w:val="24"/>
        </w:rPr>
        <w:t>internship</w:t>
      </w:r>
      <w:r w:rsidR="1987D137" w:rsidRPr="001E366B">
        <w:rPr>
          <w:sz w:val="24"/>
          <w:szCs w:val="24"/>
        </w:rPr>
        <w:t xml:space="preserve"> and </w:t>
      </w:r>
      <w:r w:rsidR="0019401A" w:rsidRPr="001E366B">
        <w:rPr>
          <w:sz w:val="24"/>
          <w:szCs w:val="24"/>
        </w:rPr>
        <w:t xml:space="preserve">into </w:t>
      </w:r>
      <w:r w:rsidR="1987D137" w:rsidRPr="001E366B">
        <w:rPr>
          <w:sz w:val="24"/>
          <w:szCs w:val="24"/>
        </w:rPr>
        <w:t>early</w:t>
      </w:r>
      <w:r w:rsidR="009F40E3" w:rsidRPr="001E366B">
        <w:rPr>
          <w:sz w:val="24"/>
          <w:szCs w:val="24"/>
        </w:rPr>
        <w:t>-</w:t>
      </w:r>
      <w:r w:rsidR="1987D137" w:rsidRPr="001E366B">
        <w:rPr>
          <w:sz w:val="24"/>
          <w:szCs w:val="24"/>
        </w:rPr>
        <w:t xml:space="preserve">career </w:t>
      </w:r>
      <w:r w:rsidR="009F40E3" w:rsidRPr="001E366B">
        <w:rPr>
          <w:sz w:val="24"/>
          <w:szCs w:val="24"/>
        </w:rPr>
        <w:t>and ongoing professional practice</w:t>
      </w:r>
      <w:r w:rsidR="00AB70C4" w:rsidRPr="001E366B">
        <w:rPr>
          <w:sz w:val="24"/>
          <w:szCs w:val="24"/>
        </w:rPr>
        <w:t xml:space="preserve">. </w:t>
      </w:r>
    </w:p>
    <w:p w14:paraId="7B9FFC1D" w14:textId="77CAFE46" w:rsidR="00ED2169" w:rsidRPr="001E366B" w:rsidRDefault="006415C4" w:rsidP="087094F4">
      <w:pPr>
        <w:spacing w:after="120" w:line="360" w:lineRule="auto"/>
        <w:textAlignment w:val="baseline"/>
        <w:rPr>
          <w:sz w:val="24"/>
          <w:szCs w:val="24"/>
        </w:rPr>
      </w:pPr>
      <w:r>
        <w:rPr>
          <w:sz w:val="24"/>
          <w:szCs w:val="24"/>
        </w:rPr>
        <w:t>O</w:t>
      </w:r>
      <w:r w:rsidR="00A264C9" w:rsidRPr="001E366B">
        <w:rPr>
          <w:sz w:val="24"/>
          <w:szCs w:val="24"/>
        </w:rPr>
        <w:t>ne of the motivators for rural practice is the potential fo</w:t>
      </w:r>
      <w:r w:rsidR="00B33FA3" w:rsidRPr="001E366B">
        <w:rPr>
          <w:sz w:val="24"/>
          <w:szCs w:val="24"/>
        </w:rPr>
        <w:t xml:space="preserve">r expanded scope of </w:t>
      </w:r>
      <w:proofErr w:type="gramStart"/>
      <w:r w:rsidR="00B33FA3" w:rsidRPr="001E366B">
        <w:rPr>
          <w:sz w:val="24"/>
          <w:szCs w:val="24"/>
        </w:rPr>
        <w:t>practice</w:t>
      </w:r>
      <w:r w:rsidR="00E16696">
        <w:rPr>
          <w:sz w:val="24"/>
          <w:szCs w:val="24"/>
        </w:rPr>
        <w:t>[</w:t>
      </w:r>
      <w:proofErr w:type="gramEnd"/>
      <w:r w:rsidR="00E16696">
        <w:rPr>
          <w:sz w:val="24"/>
          <w:szCs w:val="24"/>
        </w:rPr>
        <w:t>30]</w:t>
      </w:r>
      <w:r w:rsidR="00A264C9" w:rsidRPr="001E366B">
        <w:rPr>
          <w:sz w:val="24"/>
          <w:szCs w:val="24"/>
        </w:rPr>
        <w:t xml:space="preserve"> and job satisfaction </w:t>
      </w:r>
      <w:r w:rsidR="00A37ABC" w:rsidRPr="001E366B">
        <w:rPr>
          <w:sz w:val="24"/>
          <w:szCs w:val="24"/>
        </w:rPr>
        <w:t>is</w:t>
      </w:r>
      <w:r w:rsidR="00A264C9" w:rsidRPr="001E366B">
        <w:rPr>
          <w:sz w:val="24"/>
          <w:szCs w:val="24"/>
        </w:rPr>
        <w:t xml:space="preserve"> associated wi</w:t>
      </w:r>
      <w:r w:rsidR="00B33FA3" w:rsidRPr="001E366B">
        <w:rPr>
          <w:sz w:val="24"/>
          <w:szCs w:val="24"/>
        </w:rPr>
        <w:t>th the ‘use of advanced skills’</w:t>
      </w:r>
      <w:r w:rsidR="00EF7646">
        <w:rPr>
          <w:sz w:val="24"/>
          <w:szCs w:val="24"/>
        </w:rPr>
        <w:t>[2</w:t>
      </w:r>
      <w:r w:rsidR="00E16696">
        <w:rPr>
          <w:sz w:val="24"/>
          <w:szCs w:val="24"/>
        </w:rPr>
        <w:t>6]</w:t>
      </w:r>
      <w:r w:rsidR="00A264C9" w:rsidRPr="001E366B">
        <w:rPr>
          <w:sz w:val="24"/>
          <w:szCs w:val="24"/>
        </w:rPr>
        <w:t xml:space="preserve">. </w:t>
      </w:r>
      <w:r w:rsidR="00163C1D" w:rsidRPr="001E366B">
        <w:rPr>
          <w:sz w:val="24"/>
          <w:szCs w:val="24"/>
        </w:rPr>
        <w:t xml:space="preserve">Though opposed by </w:t>
      </w:r>
      <w:r w:rsidR="00D22C67">
        <w:rPr>
          <w:sz w:val="24"/>
          <w:szCs w:val="24"/>
        </w:rPr>
        <w:t xml:space="preserve">some </w:t>
      </w:r>
      <w:r w:rsidR="004E230C">
        <w:rPr>
          <w:sz w:val="24"/>
          <w:szCs w:val="24"/>
        </w:rPr>
        <w:t xml:space="preserve">in the medical </w:t>
      </w:r>
      <w:proofErr w:type="gramStart"/>
      <w:r w:rsidR="004E230C">
        <w:rPr>
          <w:sz w:val="24"/>
          <w:szCs w:val="24"/>
        </w:rPr>
        <w:t>profession</w:t>
      </w:r>
      <w:r w:rsidR="00EF7646">
        <w:rPr>
          <w:sz w:val="24"/>
          <w:szCs w:val="24"/>
        </w:rPr>
        <w:t>[</w:t>
      </w:r>
      <w:proofErr w:type="gramEnd"/>
      <w:r w:rsidR="00531B1C">
        <w:rPr>
          <w:sz w:val="24"/>
          <w:szCs w:val="24"/>
        </w:rPr>
        <w:t>36</w:t>
      </w:r>
      <w:r w:rsidR="00EF7646">
        <w:rPr>
          <w:sz w:val="24"/>
          <w:szCs w:val="24"/>
        </w:rPr>
        <w:t>]</w:t>
      </w:r>
      <w:r w:rsidR="00D22C67">
        <w:rPr>
          <w:sz w:val="24"/>
          <w:szCs w:val="24"/>
        </w:rPr>
        <w:t>,</w:t>
      </w:r>
      <w:r w:rsidR="00163C1D" w:rsidRPr="001E366B">
        <w:rPr>
          <w:sz w:val="24"/>
          <w:szCs w:val="24"/>
        </w:rPr>
        <w:t xml:space="preserve"> </w:t>
      </w:r>
      <w:r w:rsidR="004E230C">
        <w:rPr>
          <w:sz w:val="24"/>
          <w:szCs w:val="24"/>
        </w:rPr>
        <w:t xml:space="preserve">and </w:t>
      </w:r>
      <w:r w:rsidR="00E66023">
        <w:rPr>
          <w:sz w:val="24"/>
          <w:szCs w:val="24"/>
        </w:rPr>
        <w:t xml:space="preserve">often </w:t>
      </w:r>
      <w:r w:rsidR="004E230C">
        <w:rPr>
          <w:sz w:val="24"/>
          <w:szCs w:val="24"/>
        </w:rPr>
        <w:t>poorly understood</w:t>
      </w:r>
      <w:r w:rsidR="00531B1C">
        <w:rPr>
          <w:sz w:val="24"/>
          <w:szCs w:val="24"/>
        </w:rPr>
        <w:t>[37</w:t>
      </w:r>
      <w:r w:rsidR="00EF7646">
        <w:rPr>
          <w:sz w:val="24"/>
          <w:szCs w:val="24"/>
        </w:rPr>
        <w:t>]</w:t>
      </w:r>
      <w:r w:rsidR="004E230C">
        <w:rPr>
          <w:sz w:val="24"/>
          <w:szCs w:val="24"/>
        </w:rPr>
        <w:t xml:space="preserve">, </w:t>
      </w:r>
      <w:r w:rsidR="00FA4FC8" w:rsidRPr="001E366B">
        <w:rPr>
          <w:sz w:val="24"/>
          <w:szCs w:val="24"/>
        </w:rPr>
        <w:t>provision</w:t>
      </w:r>
      <w:r w:rsidR="00BC1FE3" w:rsidRPr="001E366B">
        <w:rPr>
          <w:sz w:val="24"/>
          <w:szCs w:val="24"/>
        </w:rPr>
        <w:t xml:space="preserve"> </w:t>
      </w:r>
      <w:r w:rsidR="00DA7C38" w:rsidRPr="001E366B">
        <w:rPr>
          <w:sz w:val="24"/>
          <w:szCs w:val="24"/>
        </w:rPr>
        <w:t>of a</w:t>
      </w:r>
      <w:r>
        <w:rPr>
          <w:sz w:val="24"/>
          <w:szCs w:val="24"/>
        </w:rPr>
        <w:t>n extended</w:t>
      </w:r>
      <w:r w:rsidR="00DA7C38" w:rsidRPr="001E366B">
        <w:rPr>
          <w:sz w:val="24"/>
          <w:szCs w:val="24"/>
        </w:rPr>
        <w:t xml:space="preserve"> range of primary health care services </w:t>
      </w:r>
      <w:r w:rsidR="00FA4FC8" w:rsidRPr="001E366B">
        <w:rPr>
          <w:sz w:val="24"/>
          <w:szCs w:val="24"/>
        </w:rPr>
        <w:t>by pharmacists</w:t>
      </w:r>
      <w:r w:rsidR="00BC1FE3" w:rsidRPr="001E366B">
        <w:rPr>
          <w:sz w:val="24"/>
          <w:szCs w:val="24"/>
        </w:rPr>
        <w:t xml:space="preserve"> </w:t>
      </w:r>
      <w:r w:rsidR="00A264C9" w:rsidRPr="001E366B">
        <w:rPr>
          <w:sz w:val="24"/>
          <w:szCs w:val="24"/>
        </w:rPr>
        <w:t xml:space="preserve">may be </w:t>
      </w:r>
      <w:r w:rsidR="001161AD" w:rsidRPr="001E366B">
        <w:rPr>
          <w:sz w:val="24"/>
          <w:szCs w:val="24"/>
        </w:rPr>
        <w:t xml:space="preserve">beneficial </w:t>
      </w:r>
      <w:r w:rsidR="009E21D0">
        <w:rPr>
          <w:sz w:val="24"/>
          <w:szCs w:val="24"/>
        </w:rPr>
        <w:t>in</w:t>
      </w:r>
      <w:r w:rsidR="001161AD" w:rsidRPr="001E366B">
        <w:rPr>
          <w:sz w:val="24"/>
          <w:szCs w:val="24"/>
        </w:rPr>
        <w:t xml:space="preserve"> </w:t>
      </w:r>
      <w:r w:rsidR="00D55D25">
        <w:rPr>
          <w:sz w:val="24"/>
          <w:szCs w:val="24"/>
        </w:rPr>
        <w:t>rural</w:t>
      </w:r>
      <w:r w:rsidR="00163C1D" w:rsidRPr="001E366B">
        <w:rPr>
          <w:sz w:val="24"/>
          <w:szCs w:val="24"/>
        </w:rPr>
        <w:t xml:space="preserve"> communities</w:t>
      </w:r>
      <w:r w:rsidR="00531B1C">
        <w:rPr>
          <w:sz w:val="24"/>
          <w:szCs w:val="24"/>
        </w:rPr>
        <w:t>[36,38</w:t>
      </w:r>
      <w:r w:rsidR="00EF7646">
        <w:rPr>
          <w:sz w:val="24"/>
          <w:szCs w:val="24"/>
        </w:rPr>
        <w:t>]</w:t>
      </w:r>
      <w:r>
        <w:rPr>
          <w:sz w:val="24"/>
          <w:szCs w:val="24"/>
        </w:rPr>
        <w:t>,</w:t>
      </w:r>
      <w:r w:rsidR="00A264C9" w:rsidRPr="001E366B">
        <w:rPr>
          <w:sz w:val="24"/>
          <w:szCs w:val="24"/>
        </w:rPr>
        <w:t xml:space="preserve"> </w:t>
      </w:r>
      <w:r>
        <w:rPr>
          <w:sz w:val="24"/>
          <w:szCs w:val="24"/>
        </w:rPr>
        <w:t xml:space="preserve">which is similarly </w:t>
      </w:r>
      <w:r w:rsidR="00163C1D" w:rsidRPr="001E366B">
        <w:rPr>
          <w:sz w:val="24"/>
          <w:szCs w:val="24"/>
        </w:rPr>
        <w:t xml:space="preserve">true </w:t>
      </w:r>
      <w:r w:rsidR="0019401A" w:rsidRPr="001E366B">
        <w:rPr>
          <w:sz w:val="24"/>
          <w:szCs w:val="24"/>
        </w:rPr>
        <w:t>for</w:t>
      </w:r>
      <w:r w:rsidR="00163C1D" w:rsidRPr="001E366B">
        <w:rPr>
          <w:sz w:val="24"/>
          <w:szCs w:val="24"/>
        </w:rPr>
        <w:t xml:space="preserve"> other health professionals, such as nurse practitioners</w:t>
      </w:r>
      <w:r w:rsidR="00531B1C">
        <w:rPr>
          <w:sz w:val="24"/>
          <w:szCs w:val="24"/>
        </w:rPr>
        <w:t>[39</w:t>
      </w:r>
      <w:r w:rsidR="00EF7646">
        <w:rPr>
          <w:sz w:val="24"/>
          <w:szCs w:val="24"/>
        </w:rPr>
        <w:t>].</w:t>
      </w:r>
      <w:r w:rsidR="00136329" w:rsidRPr="001E366B">
        <w:rPr>
          <w:sz w:val="24"/>
          <w:szCs w:val="24"/>
        </w:rPr>
        <w:t xml:space="preserve"> </w:t>
      </w:r>
      <w:r>
        <w:rPr>
          <w:sz w:val="24"/>
          <w:szCs w:val="24"/>
        </w:rPr>
        <w:t>M</w:t>
      </w:r>
      <w:r w:rsidR="00DA65B7" w:rsidRPr="001E366B">
        <w:rPr>
          <w:sz w:val="24"/>
          <w:szCs w:val="24"/>
        </w:rPr>
        <w:t>ore could be done</w:t>
      </w:r>
      <w:r>
        <w:rPr>
          <w:sz w:val="24"/>
          <w:szCs w:val="24"/>
        </w:rPr>
        <w:t xml:space="preserve"> in role</w:t>
      </w:r>
      <w:r w:rsidR="00E66023">
        <w:rPr>
          <w:sz w:val="24"/>
          <w:szCs w:val="24"/>
        </w:rPr>
        <w:t>s</w:t>
      </w:r>
      <w:r>
        <w:rPr>
          <w:sz w:val="24"/>
          <w:szCs w:val="24"/>
        </w:rPr>
        <w:t xml:space="preserve"> such as</w:t>
      </w:r>
      <w:r w:rsidR="00DA65B7" w:rsidRPr="001E366B">
        <w:rPr>
          <w:sz w:val="24"/>
          <w:szCs w:val="24"/>
        </w:rPr>
        <w:t xml:space="preserve"> </w:t>
      </w:r>
      <w:r w:rsidR="1CFB4421" w:rsidRPr="001E366B">
        <w:rPr>
          <w:sz w:val="24"/>
          <w:szCs w:val="24"/>
        </w:rPr>
        <w:t>C</w:t>
      </w:r>
      <w:r w:rsidR="00DA65B7" w:rsidRPr="001E366B">
        <w:rPr>
          <w:sz w:val="24"/>
          <w:szCs w:val="24"/>
        </w:rPr>
        <w:t xml:space="preserve">OPD screening, </w:t>
      </w:r>
      <w:r>
        <w:rPr>
          <w:sz w:val="24"/>
          <w:szCs w:val="24"/>
        </w:rPr>
        <w:t xml:space="preserve">and </w:t>
      </w:r>
      <w:r w:rsidR="00DA65B7" w:rsidRPr="001E366B">
        <w:rPr>
          <w:sz w:val="24"/>
          <w:szCs w:val="24"/>
        </w:rPr>
        <w:t>INR and cholesterol monitoring</w:t>
      </w:r>
      <w:r w:rsidR="00F956BC" w:rsidRPr="001E366B">
        <w:rPr>
          <w:sz w:val="24"/>
          <w:szCs w:val="24"/>
        </w:rPr>
        <w:t>.</w:t>
      </w:r>
      <w:r w:rsidR="002579B5" w:rsidRPr="001E366B">
        <w:rPr>
          <w:sz w:val="24"/>
          <w:szCs w:val="24"/>
        </w:rPr>
        <w:t xml:space="preserve"> </w:t>
      </w:r>
      <w:r w:rsidR="0019401A" w:rsidRPr="001E366B">
        <w:rPr>
          <w:sz w:val="24"/>
          <w:szCs w:val="24"/>
        </w:rPr>
        <w:t>G</w:t>
      </w:r>
      <w:r w:rsidR="002579B5" w:rsidRPr="001E366B">
        <w:rPr>
          <w:sz w:val="24"/>
          <w:szCs w:val="24"/>
        </w:rPr>
        <w:t>iven the comparatively high prevalence of cardio</w:t>
      </w:r>
      <w:r w:rsidR="009E227B" w:rsidRPr="001E366B">
        <w:rPr>
          <w:sz w:val="24"/>
          <w:szCs w:val="24"/>
        </w:rPr>
        <w:t>-</w:t>
      </w:r>
      <w:r w:rsidR="00EA66C3" w:rsidRPr="001E366B">
        <w:rPr>
          <w:sz w:val="24"/>
          <w:szCs w:val="24"/>
        </w:rPr>
        <w:t>vascular</w:t>
      </w:r>
      <w:r w:rsidR="002579B5" w:rsidRPr="001E366B">
        <w:rPr>
          <w:sz w:val="24"/>
          <w:szCs w:val="24"/>
        </w:rPr>
        <w:t xml:space="preserve"> disease </w:t>
      </w:r>
      <w:r w:rsidR="009E227B" w:rsidRPr="001E366B">
        <w:rPr>
          <w:sz w:val="24"/>
          <w:szCs w:val="24"/>
        </w:rPr>
        <w:t xml:space="preserve">risk factors </w:t>
      </w:r>
      <w:r w:rsidR="002579B5" w:rsidRPr="001E366B">
        <w:rPr>
          <w:sz w:val="24"/>
          <w:szCs w:val="24"/>
        </w:rPr>
        <w:t>in rural</w:t>
      </w:r>
      <w:r w:rsidR="7406FDC2" w:rsidRPr="001E366B">
        <w:rPr>
          <w:sz w:val="24"/>
          <w:szCs w:val="24"/>
        </w:rPr>
        <w:t xml:space="preserve"> </w:t>
      </w:r>
      <w:proofErr w:type="gramStart"/>
      <w:r w:rsidR="002579B5" w:rsidRPr="001E366B">
        <w:rPr>
          <w:sz w:val="24"/>
          <w:szCs w:val="24"/>
        </w:rPr>
        <w:t>communities</w:t>
      </w:r>
      <w:r w:rsidR="00531B1C">
        <w:rPr>
          <w:sz w:val="24"/>
          <w:szCs w:val="24"/>
        </w:rPr>
        <w:t>[</w:t>
      </w:r>
      <w:proofErr w:type="gramEnd"/>
      <w:r w:rsidR="00531B1C">
        <w:rPr>
          <w:sz w:val="24"/>
          <w:szCs w:val="24"/>
        </w:rPr>
        <w:t>30,41</w:t>
      </w:r>
      <w:r w:rsidR="00EF7646">
        <w:rPr>
          <w:sz w:val="24"/>
          <w:szCs w:val="24"/>
        </w:rPr>
        <w:t>]</w:t>
      </w:r>
      <w:r w:rsidR="002D2FB7" w:rsidRPr="001E366B">
        <w:rPr>
          <w:sz w:val="24"/>
          <w:szCs w:val="24"/>
        </w:rPr>
        <w:t>,</w:t>
      </w:r>
      <w:r w:rsidR="00F956BC" w:rsidRPr="001E366B">
        <w:rPr>
          <w:sz w:val="24"/>
          <w:szCs w:val="24"/>
        </w:rPr>
        <w:t xml:space="preserve"> pharmacist-led</w:t>
      </w:r>
      <w:r w:rsidR="002D2FB7" w:rsidRPr="001E366B">
        <w:rPr>
          <w:sz w:val="24"/>
          <w:szCs w:val="24"/>
        </w:rPr>
        <w:t xml:space="preserve"> interventions </w:t>
      </w:r>
      <w:r w:rsidR="007F4766">
        <w:rPr>
          <w:sz w:val="24"/>
          <w:szCs w:val="24"/>
        </w:rPr>
        <w:t>in</w:t>
      </w:r>
      <w:r w:rsidR="00D22C67">
        <w:rPr>
          <w:sz w:val="24"/>
          <w:szCs w:val="24"/>
        </w:rPr>
        <w:t xml:space="preserve"> managing </w:t>
      </w:r>
      <w:r w:rsidR="002D2FB7" w:rsidRPr="001E366B">
        <w:rPr>
          <w:sz w:val="24"/>
          <w:szCs w:val="24"/>
        </w:rPr>
        <w:t xml:space="preserve"> hypertension and hyperlipidaemia could improve </w:t>
      </w:r>
      <w:r w:rsidR="007F4766">
        <w:rPr>
          <w:sz w:val="24"/>
          <w:szCs w:val="24"/>
        </w:rPr>
        <w:t>pharmacological</w:t>
      </w:r>
      <w:r w:rsidR="007F4766" w:rsidRPr="001E366B">
        <w:rPr>
          <w:sz w:val="24"/>
          <w:szCs w:val="24"/>
        </w:rPr>
        <w:t xml:space="preserve"> </w:t>
      </w:r>
      <w:proofErr w:type="spellStart"/>
      <w:r w:rsidR="00D22C67">
        <w:rPr>
          <w:sz w:val="24"/>
          <w:szCs w:val="24"/>
        </w:rPr>
        <w:t>treament</w:t>
      </w:r>
      <w:proofErr w:type="spellEnd"/>
      <w:r w:rsidR="00531B1C">
        <w:rPr>
          <w:sz w:val="24"/>
          <w:szCs w:val="24"/>
        </w:rPr>
        <w:t>[42</w:t>
      </w:r>
      <w:r w:rsidR="00EF7646">
        <w:rPr>
          <w:sz w:val="24"/>
          <w:szCs w:val="24"/>
        </w:rPr>
        <w:t>]</w:t>
      </w:r>
      <w:r w:rsidR="002D2FB7" w:rsidRPr="001E366B">
        <w:rPr>
          <w:sz w:val="24"/>
          <w:szCs w:val="24"/>
        </w:rPr>
        <w:t xml:space="preserve">. </w:t>
      </w:r>
      <w:r w:rsidR="007F4766">
        <w:rPr>
          <w:sz w:val="24"/>
          <w:szCs w:val="24"/>
        </w:rPr>
        <w:t>I</w:t>
      </w:r>
      <w:r w:rsidR="002D2FB7" w:rsidRPr="001E366B">
        <w:rPr>
          <w:sz w:val="24"/>
          <w:szCs w:val="24"/>
        </w:rPr>
        <w:t xml:space="preserve">n this </w:t>
      </w:r>
      <w:r w:rsidR="00BC6769">
        <w:rPr>
          <w:sz w:val="24"/>
          <w:szCs w:val="24"/>
        </w:rPr>
        <w:t>project</w:t>
      </w:r>
      <w:r w:rsidR="002D2FB7" w:rsidRPr="001E366B">
        <w:rPr>
          <w:sz w:val="24"/>
          <w:szCs w:val="24"/>
        </w:rPr>
        <w:t xml:space="preserve"> </w:t>
      </w:r>
      <w:r w:rsidR="009139B2" w:rsidRPr="001E366B">
        <w:rPr>
          <w:sz w:val="24"/>
          <w:szCs w:val="24"/>
        </w:rPr>
        <w:t>almost three-quarters of respondents indicat</w:t>
      </w:r>
      <w:r w:rsidR="002D2FB7" w:rsidRPr="001E366B">
        <w:rPr>
          <w:sz w:val="24"/>
          <w:szCs w:val="24"/>
        </w:rPr>
        <w:t>ed</w:t>
      </w:r>
      <w:r w:rsidR="009139B2" w:rsidRPr="001E366B">
        <w:rPr>
          <w:sz w:val="24"/>
          <w:szCs w:val="24"/>
        </w:rPr>
        <w:t xml:space="preserve"> that staffing </w:t>
      </w:r>
      <w:r w:rsidR="002D2FB7" w:rsidRPr="001E366B">
        <w:rPr>
          <w:sz w:val="24"/>
          <w:szCs w:val="24"/>
        </w:rPr>
        <w:t xml:space="preserve">issues </w:t>
      </w:r>
      <w:r w:rsidR="007F4766" w:rsidRPr="001E366B">
        <w:rPr>
          <w:sz w:val="24"/>
          <w:szCs w:val="24"/>
        </w:rPr>
        <w:t>limit</w:t>
      </w:r>
      <w:r w:rsidR="007F4766">
        <w:rPr>
          <w:sz w:val="24"/>
          <w:szCs w:val="24"/>
        </w:rPr>
        <w:t>ed</w:t>
      </w:r>
      <w:r w:rsidR="007F4766" w:rsidRPr="001E366B">
        <w:rPr>
          <w:sz w:val="24"/>
          <w:szCs w:val="24"/>
        </w:rPr>
        <w:t xml:space="preserve"> </w:t>
      </w:r>
      <w:r w:rsidR="007F4766">
        <w:rPr>
          <w:sz w:val="24"/>
          <w:szCs w:val="24"/>
        </w:rPr>
        <w:t>extending their scope of practice</w:t>
      </w:r>
      <w:r w:rsidR="009139B2" w:rsidRPr="001E366B">
        <w:rPr>
          <w:sz w:val="24"/>
          <w:szCs w:val="24"/>
        </w:rPr>
        <w:t xml:space="preserve">. </w:t>
      </w:r>
      <w:r w:rsidR="007F4766">
        <w:rPr>
          <w:sz w:val="24"/>
          <w:szCs w:val="24"/>
        </w:rPr>
        <w:t>I</w:t>
      </w:r>
      <w:r w:rsidR="00707E09" w:rsidRPr="001E366B">
        <w:rPr>
          <w:sz w:val="24"/>
          <w:szCs w:val="24"/>
        </w:rPr>
        <w:t xml:space="preserve">ncreasing </w:t>
      </w:r>
      <w:r w:rsidR="00E34D57" w:rsidRPr="001E366B">
        <w:rPr>
          <w:sz w:val="24"/>
          <w:szCs w:val="24"/>
        </w:rPr>
        <w:t xml:space="preserve">expectations and </w:t>
      </w:r>
      <w:r w:rsidR="00707E09" w:rsidRPr="001E366B">
        <w:rPr>
          <w:sz w:val="24"/>
          <w:szCs w:val="24"/>
        </w:rPr>
        <w:t xml:space="preserve">demands </w:t>
      </w:r>
      <w:r w:rsidR="009139B2" w:rsidRPr="001E366B">
        <w:rPr>
          <w:sz w:val="24"/>
          <w:szCs w:val="24"/>
        </w:rPr>
        <w:t xml:space="preserve">in a climate of </w:t>
      </w:r>
      <w:r w:rsidR="007F4766">
        <w:rPr>
          <w:sz w:val="24"/>
          <w:szCs w:val="24"/>
        </w:rPr>
        <w:t>workforce under</w:t>
      </w:r>
      <w:r w:rsidR="00707E09" w:rsidRPr="001E366B">
        <w:rPr>
          <w:sz w:val="24"/>
          <w:szCs w:val="24"/>
        </w:rPr>
        <w:t>supply</w:t>
      </w:r>
      <w:r w:rsidR="4EF9E8C0" w:rsidRPr="001E366B">
        <w:rPr>
          <w:sz w:val="24"/>
          <w:szCs w:val="24"/>
        </w:rPr>
        <w:t xml:space="preserve">, </w:t>
      </w:r>
      <w:r w:rsidR="00E34D57" w:rsidRPr="001E366B">
        <w:rPr>
          <w:sz w:val="24"/>
          <w:szCs w:val="24"/>
        </w:rPr>
        <w:t xml:space="preserve">can </w:t>
      </w:r>
      <w:r w:rsidR="00EA66C3" w:rsidRPr="001E366B">
        <w:rPr>
          <w:sz w:val="24"/>
          <w:szCs w:val="24"/>
        </w:rPr>
        <w:t xml:space="preserve">lead to career </w:t>
      </w:r>
      <w:proofErr w:type="gramStart"/>
      <w:r w:rsidR="00EA66C3" w:rsidRPr="001E366B">
        <w:rPr>
          <w:sz w:val="24"/>
          <w:szCs w:val="24"/>
        </w:rPr>
        <w:t>frustration</w:t>
      </w:r>
      <w:proofErr w:type="gramEnd"/>
      <w:r w:rsidR="00EA66C3" w:rsidRPr="001E366B">
        <w:rPr>
          <w:sz w:val="24"/>
          <w:szCs w:val="24"/>
        </w:rPr>
        <w:t xml:space="preserve"> and </w:t>
      </w:r>
      <w:r w:rsidR="007F4766">
        <w:rPr>
          <w:sz w:val="24"/>
          <w:szCs w:val="24"/>
        </w:rPr>
        <w:t>decrease</w:t>
      </w:r>
      <w:r w:rsidR="00E34D57" w:rsidRPr="001E366B">
        <w:rPr>
          <w:sz w:val="24"/>
          <w:szCs w:val="24"/>
        </w:rPr>
        <w:t xml:space="preserve"> </w:t>
      </w:r>
      <w:r w:rsidR="009E21D0">
        <w:rPr>
          <w:sz w:val="24"/>
          <w:szCs w:val="24"/>
        </w:rPr>
        <w:t>job satisfaction, so</w:t>
      </w:r>
      <w:r w:rsidR="00611314" w:rsidRPr="001E366B">
        <w:rPr>
          <w:sz w:val="24"/>
          <w:szCs w:val="24"/>
        </w:rPr>
        <w:t xml:space="preserve"> </w:t>
      </w:r>
      <w:r w:rsidR="009E21D0">
        <w:rPr>
          <w:sz w:val="24"/>
          <w:szCs w:val="24"/>
        </w:rPr>
        <w:t>a</w:t>
      </w:r>
      <w:r w:rsidR="00003721" w:rsidRPr="001E366B">
        <w:rPr>
          <w:sz w:val="24"/>
          <w:szCs w:val="24"/>
        </w:rPr>
        <w:t xml:space="preserve">ddressing </w:t>
      </w:r>
      <w:r w:rsidR="00E34D57" w:rsidRPr="001E366B">
        <w:rPr>
          <w:sz w:val="24"/>
          <w:szCs w:val="24"/>
        </w:rPr>
        <w:t xml:space="preserve">workforce </w:t>
      </w:r>
      <w:r w:rsidR="00E66023">
        <w:rPr>
          <w:sz w:val="24"/>
          <w:szCs w:val="24"/>
        </w:rPr>
        <w:t xml:space="preserve">under </w:t>
      </w:r>
      <w:r w:rsidR="00003721" w:rsidRPr="001E366B">
        <w:rPr>
          <w:sz w:val="24"/>
          <w:szCs w:val="24"/>
        </w:rPr>
        <w:t xml:space="preserve">supply </w:t>
      </w:r>
      <w:r w:rsidR="00E34D57" w:rsidRPr="001E366B">
        <w:rPr>
          <w:sz w:val="24"/>
          <w:szCs w:val="24"/>
        </w:rPr>
        <w:t>in parallel with pharmacist role development is essential.</w:t>
      </w:r>
      <w:r w:rsidR="00EA63CF" w:rsidRPr="001E366B">
        <w:rPr>
          <w:sz w:val="24"/>
          <w:szCs w:val="24"/>
        </w:rPr>
        <w:t xml:space="preserve"> </w:t>
      </w:r>
    </w:p>
    <w:p w14:paraId="6FCB552D" w14:textId="5C94E954" w:rsidR="00177CAC" w:rsidRPr="001E366B" w:rsidRDefault="007F4766" w:rsidP="00581BB0">
      <w:pPr>
        <w:spacing w:after="120" w:line="360" w:lineRule="auto"/>
        <w:rPr>
          <w:sz w:val="24"/>
          <w:szCs w:val="24"/>
        </w:rPr>
      </w:pPr>
      <w:r>
        <w:rPr>
          <w:sz w:val="24"/>
          <w:szCs w:val="24"/>
        </w:rPr>
        <w:t xml:space="preserve">This </w:t>
      </w:r>
      <w:r w:rsidR="00626FC6" w:rsidRPr="001E366B">
        <w:rPr>
          <w:sz w:val="24"/>
          <w:szCs w:val="24"/>
        </w:rPr>
        <w:t xml:space="preserve">was </w:t>
      </w:r>
      <w:r w:rsidR="00E34D57" w:rsidRPr="001E366B">
        <w:rPr>
          <w:sz w:val="24"/>
          <w:szCs w:val="24"/>
        </w:rPr>
        <w:t xml:space="preserve">a </w:t>
      </w:r>
      <w:proofErr w:type="gramStart"/>
      <w:r w:rsidR="00E34D57" w:rsidRPr="001E366B">
        <w:rPr>
          <w:sz w:val="24"/>
          <w:szCs w:val="24"/>
        </w:rPr>
        <w:t>small scale</w:t>
      </w:r>
      <w:proofErr w:type="gramEnd"/>
      <w:r w:rsidR="00E34D57" w:rsidRPr="001E366B">
        <w:rPr>
          <w:sz w:val="24"/>
          <w:szCs w:val="24"/>
        </w:rPr>
        <w:t xml:space="preserve"> study </w:t>
      </w:r>
      <w:r w:rsidR="00626FC6" w:rsidRPr="001E366B">
        <w:rPr>
          <w:sz w:val="24"/>
          <w:szCs w:val="24"/>
        </w:rPr>
        <w:t xml:space="preserve">intended primarily for </w:t>
      </w:r>
      <w:r w:rsidR="0019401A" w:rsidRPr="001E366B">
        <w:rPr>
          <w:sz w:val="24"/>
          <w:szCs w:val="24"/>
        </w:rPr>
        <w:t xml:space="preserve">internal </w:t>
      </w:r>
      <w:r w:rsidR="00626FC6" w:rsidRPr="001E366B">
        <w:rPr>
          <w:sz w:val="24"/>
          <w:szCs w:val="24"/>
        </w:rPr>
        <w:t xml:space="preserve">quality assurance purposes. </w:t>
      </w:r>
      <w:r w:rsidR="00581BB0" w:rsidRPr="001E366B">
        <w:rPr>
          <w:sz w:val="24"/>
          <w:szCs w:val="24"/>
        </w:rPr>
        <w:t xml:space="preserve">Reliability of </w:t>
      </w:r>
      <w:r w:rsidR="00797887">
        <w:rPr>
          <w:sz w:val="24"/>
          <w:szCs w:val="24"/>
        </w:rPr>
        <w:t>responses</w:t>
      </w:r>
      <w:r w:rsidR="00581BB0" w:rsidRPr="001E366B">
        <w:rPr>
          <w:sz w:val="24"/>
          <w:szCs w:val="24"/>
        </w:rPr>
        <w:t xml:space="preserve"> may be affected by self-reporting</w:t>
      </w:r>
      <w:r>
        <w:rPr>
          <w:sz w:val="24"/>
          <w:szCs w:val="24"/>
        </w:rPr>
        <w:t xml:space="preserve">, </w:t>
      </w:r>
      <w:r w:rsidR="00581BB0" w:rsidRPr="001E366B">
        <w:rPr>
          <w:sz w:val="24"/>
          <w:szCs w:val="24"/>
        </w:rPr>
        <w:t>recall bias</w:t>
      </w:r>
      <w:r>
        <w:rPr>
          <w:sz w:val="24"/>
          <w:szCs w:val="24"/>
        </w:rPr>
        <w:t xml:space="preserve"> and </w:t>
      </w:r>
      <w:r w:rsidR="00797887" w:rsidRPr="001E366B">
        <w:rPr>
          <w:sz w:val="24"/>
          <w:szCs w:val="24"/>
        </w:rPr>
        <w:t xml:space="preserve">perceptions of social </w:t>
      </w:r>
      <w:proofErr w:type="gramStart"/>
      <w:r w:rsidR="00797887" w:rsidRPr="001E366B">
        <w:rPr>
          <w:sz w:val="24"/>
          <w:szCs w:val="24"/>
        </w:rPr>
        <w:t>desirability</w:t>
      </w:r>
      <w:r w:rsidR="00531B1C">
        <w:rPr>
          <w:sz w:val="24"/>
          <w:szCs w:val="24"/>
        </w:rPr>
        <w:t>[</w:t>
      </w:r>
      <w:proofErr w:type="gramEnd"/>
      <w:r w:rsidR="00531B1C">
        <w:rPr>
          <w:sz w:val="24"/>
          <w:szCs w:val="24"/>
        </w:rPr>
        <w:t>43</w:t>
      </w:r>
      <w:r w:rsidR="00EF7646">
        <w:rPr>
          <w:sz w:val="24"/>
          <w:szCs w:val="24"/>
        </w:rPr>
        <w:t>]</w:t>
      </w:r>
      <w:r w:rsidR="00581BB0" w:rsidRPr="001E366B">
        <w:rPr>
          <w:sz w:val="24"/>
          <w:szCs w:val="24"/>
        </w:rPr>
        <w:t xml:space="preserve">. </w:t>
      </w:r>
      <w:r w:rsidR="009E4D69" w:rsidRPr="001E366B">
        <w:rPr>
          <w:sz w:val="24"/>
          <w:szCs w:val="24"/>
        </w:rPr>
        <w:t>R</w:t>
      </w:r>
      <w:r w:rsidR="00554B5A" w:rsidRPr="001E366B">
        <w:rPr>
          <w:sz w:val="24"/>
          <w:szCs w:val="24"/>
        </w:rPr>
        <w:t>ole</w:t>
      </w:r>
      <w:r w:rsidR="009E4D69" w:rsidRPr="001E366B">
        <w:rPr>
          <w:sz w:val="24"/>
          <w:szCs w:val="24"/>
        </w:rPr>
        <w:t xml:space="preserve"> differentiation</w:t>
      </w:r>
      <w:r w:rsidR="00554B5A" w:rsidRPr="001E366B">
        <w:rPr>
          <w:sz w:val="24"/>
          <w:szCs w:val="24"/>
        </w:rPr>
        <w:t xml:space="preserve"> </w:t>
      </w:r>
      <w:r w:rsidR="009E4D69" w:rsidRPr="001E366B">
        <w:rPr>
          <w:sz w:val="24"/>
          <w:szCs w:val="24"/>
        </w:rPr>
        <w:t xml:space="preserve">could have been further explored, such as </w:t>
      </w:r>
      <w:r w:rsidR="00554B5A" w:rsidRPr="001E366B">
        <w:rPr>
          <w:sz w:val="24"/>
          <w:szCs w:val="24"/>
        </w:rPr>
        <w:t>sole practitioner</w:t>
      </w:r>
      <w:r w:rsidR="009E4D69" w:rsidRPr="001E366B">
        <w:rPr>
          <w:sz w:val="24"/>
          <w:szCs w:val="24"/>
        </w:rPr>
        <w:t>s</w:t>
      </w:r>
      <w:r w:rsidR="00554B5A" w:rsidRPr="001E366B">
        <w:rPr>
          <w:sz w:val="24"/>
          <w:szCs w:val="24"/>
        </w:rPr>
        <w:t xml:space="preserve"> </w:t>
      </w:r>
      <w:r w:rsidR="00797887">
        <w:rPr>
          <w:sz w:val="24"/>
          <w:szCs w:val="24"/>
        </w:rPr>
        <w:t>versus</w:t>
      </w:r>
      <w:r w:rsidR="009E4D69" w:rsidRPr="001E366B">
        <w:rPr>
          <w:sz w:val="24"/>
          <w:szCs w:val="24"/>
        </w:rPr>
        <w:t xml:space="preserve"> those working at </w:t>
      </w:r>
      <w:r w:rsidR="00554B5A" w:rsidRPr="001E366B">
        <w:rPr>
          <w:sz w:val="24"/>
          <w:szCs w:val="24"/>
        </w:rPr>
        <w:t>multi-pharmacist sites</w:t>
      </w:r>
      <w:r w:rsidR="009E4D69" w:rsidRPr="001E366B">
        <w:rPr>
          <w:sz w:val="24"/>
          <w:szCs w:val="24"/>
        </w:rPr>
        <w:t xml:space="preserve">. </w:t>
      </w:r>
      <w:r w:rsidR="00797887" w:rsidRPr="001E366B">
        <w:rPr>
          <w:sz w:val="24"/>
          <w:szCs w:val="24"/>
        </w:rPr>
        <w:t>Th</w:t>
      </w:r>
      <w:r w:rsidR="00797887">
        <w:rPr>
          <w:sz w:val="24"/>
          <w:szCs w:val="24"/>
        </w:rPr>
        <w:t>ese</w:t>
      </w:r>
      <w:r w:rsidR="00797887" w:rsidRPr="001E366B">
        <w:rPr>
          <w:sz w:val="24"/>
          <w:szCs w:val="24"/>
        </w:rPr>
        <w:t xml:space="preserve"> </w:t>
      </w:r>
      <w:r w:rsidR="00797887">
        <w:rPr>
          <w:sz w:val="24"/>
          <w:szCs w:val="24"/>
        </w:rPr>
        <w:t>are</w:t>
      </w:r>
      <w:r w:rsidR="009E4D69" w:rsidRPr="001E366B">
        <w:rPr>
          <w:sz w:val="24"/>
          <w:szCs w:val="24"/>
        </w:rPr>
        <w:t xml:space="preserve"> opportunit</w:t>
      </w:r>
      <w:r w:rsidR="00797887">
        <w:rPr>
          <w:sz w:val="24"/>
          <w:szCs w:val="24"/>
        </w:rPr>
        <w:t>ies</w:t>
      </w:r>
      <w:r w:rsidR="009E4D69" w:rsidRPr="001E366B">
        <w:rPr>
          <w:sz w:val="24"/>
          <w:szCs w:val="24"/>
        </w:rPr>
        <w:t xml:space="preserve"> for future research</w:t>
      </w:r>
      <w:r w:rsidR="000641ED" w:rsidRPr="001E366B">
        <w:rPr>
          <w:sz w:val="24"/>
          <w:szCs w:val="24"/>
        </w:rPr>
        <w:t xml:space="preserve">, </w:t>
      </w:r>
      <w:r w:rsidR="009E4D69" w:rsidRPr="001E366B">
        <w:rPr>
          <w:sz w:val="24"/>
          <w:szCs w:val="24"/>
        </w:rPr>
        <w:t xml:space="preserve">as is </w:t>
      </w:r>
      <w:r w:rsidR="00797887">
        <w:rPr>
          <w:sz w:val="24"/>
          <w:szCs w:val="24"/>
        </w:rPr>
        <w:t>greater</w:t>
      </w:r>
      <w:r w:rsidR="009E4D69" w:rsidRPr="001E366B">
        <w:rPr>
          <w:sz w:val="24"/>
          <w:szCs w:val="24"/>
        </w:rPr>
        <w:t xml:space="preserve"> exploration of </w:t>
      </w:r>
      <w:r w:rsidR="00797887">
        <w:rPr>
          <w:sz w:val="24"/>
          <w:szCs w:val="24"/>
        </w:rPr>
        <w:t>the association between</w:t>
      </w:r>
      <w:r w:rsidR="009E4D69" w:rsidRPr="001E366B">
        <w:rPr>
          <w:sz w:val="24"/>
          <w:szCs w:val="24"/>
        </w:rPr>
        <w:t xml:space="preserve"> </w:t>
      </w:r>
      <w:r w:rsidR="00797887">
        <w:rPr>
          <w:sz w:val="24"/>
          <w:szCs w:val="24"/>
        </w:rPr>
        <w:t>role development</w:t>
      </w:r>
      <w:r w:rsidR="00554B5A" w:rsidRPr="001E366B">
        <w:rPr>
          <w:sz w:val="24"/>
          <w:szCs w:val="24"/>
        </w:rPr>
        <w:t xml:space="preserve"> and job satisfaction</w:t>
      </w:r>
      <w:r w:rsidR="00797887">
        <w:rPr>
          <w:sz w:val="24"/>
          <w:szCs w:val="24"/>
        </w:rPr>
        <w:t xml:space="preserve"> and </w:t>
      </w:r>
      <w:r w:rsidR="0031323D">
        <w:rPr>
          <w:sz w:val="24"/>
          <w:szCs w:val="24"/>
        </w:rPr>
        <w:t>more targeted</w:t>
      </w:r>
      <w:r w:rsidR="00D641F9" w:rsidRPr="001E366B">
        <w:rPr>
          <w:sz w:val="24"/>
          <w:szCs w:val="24"/>
        </w:rPr>
        <w:t xml:space="preserve"> support </w:t>
      </w:r>
      <w:r w:rsidR="0031323D">
        <w:rPr>
          <w:sz w:val="24"/>
          <w:szCs w:val="24"/>
        </w:rPr>
        <w:t xml:space="preserve">of </w:t>
      </w:r>
      <w:r w:rsidR="00D641F9" w:rsidRPr="001E366B">
        <w:rPr>
          <w:sz w:val="24"/>
          <w:szCs w:val="24"/>
        </w:rPr>
        <w:t xml:space="preserve">student and intern </w:t>
      </w:r>
      <w:r w:rsidR="0031323D">
        <w:rPr>
          <w:sz w:val="24"/>
          <w:szCs w:val="24"/>
        </w:rPr>
        <w:t>rural experiences.</w:t>
      </w:r>
      <w:r w:rsidR="00D641F9" w:rsidRPr="001E366B">
        <w:rPr>
          <w:sz w:val="24"/>
          <w:szCs w:val="24"/>
        </w:rPr>
        <w:t xml:space="preserve"> </w:t>
      </w:r>
    </w:p>
    <w:p w14:paraId="662DF7E8" w14:textId="77777777" w:rsidR="00626FC6" w:rsidRPr="001E366B" w:rsidRDefault="00626FC6" w:rsidP="00D641F9">
      <w:pPr>
        <w:spacing w:after="120" w:line="360" w:lineRule="auto"/>
        <w:rPr>
          <w:rFonts w:cstheme="minorHAnsi"/>
          <w:sz w:val="24"/>
          <w:szCs w:val="24"/>
        </w:rPr>
      </w:pPr>
    </w:p>
    <w:p w14:paraId="6FCB552E" w14:textId="77777777" w:rsidR="00177CAC" w:rsidRPr="003667E9" w:rsidRDefault="00177CAC" w:rsidP="00177CAC">
      <w:pPr>
        <w:spacing w:after="120" w:line="360" w:lineRule="auto"/>
        <w:rPr>
          <w:rFonts w:cstheme="minorHAnsi"/>
          <w:b/>
          <w:sz w:val="28"/>
          <w:szCs w:val="28"/>
        </w:rPr>
      </w:pPr>
      <w:r w:rsidRPr="003667E9">
        <w:rPr>
          <w:rFonts w:cstheme="minorHAnsi"/>
          <w:b/>
          <w:sz w:val="28"/>
          <w:szCs w:val="28"/>
        </w:rPr>
        <w:t>Conclusions</w:t>
      </w:r>
    </w:p>
    <w:p w14:paraId="6FCB552F" w14:textId="3B31C7C7" w:rsidR="00177CAC" w:rsidRDefault="001603E5" w:rsidP="087094F4">
      <w:pPr>
        <w:spacing w:after="120" w:line="360" w:lineRule="auto"/>
        <w:rPr>
          <w:sz w:val="24"/>
          <w:szCs w:val="24"/>
        </w:rPr>
      </w:pPr>
      <w:r>
        <w:rPr>
          <w:sz w:val="24"/>
          <w:szCs w:val="24"/>
        </w:rPr>
        <w:t>O</w:t>
      </w:r>
      <w:r w:rsidR="007C6EDE" w:rsidRPr="001E366B">
        <w:rPr>
          <w:sz w:val="24"/>
          <w:szCs w:val="24"/>
        </w:rPr>
        <w:t xml:space="preserve">ver the past 10 to 15 years changes </w:t>
      </w:r>
      <w:r w:rsidR="00A73995" w:rsidRPr="001E366B">
        <w:rPr>
          <w:sz w:val="24"/>
          <w:szCs w:val="24"/>
        </w:rPr>
        <w:t xml:space="preserve">have been </w:t>
      </w:r>
      <w:r w:rsidR="00714A24" w:rsidRPr="001E366B">
        <w:rPr>
          <w:sz w:val="24"/>
          <w:szCs w:val="24"/>
        </w:rPr>
        <w:t>debated</w:t>
      </w:r>
      <w:r w:rsidR="00A73995" w:rsidRPr="001E366B">
        <w:rPr>
          <w:sz w:val="24"/>
          <w:szCs w:val="24"/>
        </w:rPr>
        <w:t xml:space="preserve"> </w:t>
      </w:r>
      <w:r w:rsidR="00714A24" w:rsidRPr="001E366B">
        <w:rPr>
          <w:sz w:val="24"/>
          <w:szCs w:val="24"/>
        </w:rPr>
        <w:t>and</w:t>
      </w:r>
      <w:r w:rsidR="00A73995" w:rsidRPr="001E366B">
        <w:rPr>
          <w:sz w:val="24"/>
          <w:szCs w:val="24"/>
        </w:rPr>
        <w:t xml:space="preserve"> </w:t>
      </w:r>
      <w:r w:rsidR="00E66023">
        <w:rPr>
          <w:sz w:val="24"/>
          <w:szCs w:val="24"/>
        </w:rPr>
        <w:t>implemented</w:t>
      </w:r>
      <w:r w:rsidR="00581BB0" w:rsidRPr="001E366B">
        <w:rPr>
          <w:sz w:val="24"/>
          <w:szCs w:val="24"/>
        </w:rPr>
        <w:t xml:space="preserve"> in </w:t>
      </w:r>
      <w:r w:rsidR="00A73995" w:rsidRPr="001E366B">
        <w:rPr>
          <w:sz w:val="24"/>
          <w:szCs w:val="24"/>
        </w:rPr>
        <w:t xml:space="preserve">both </w:t>
      </w:r>
      <w:r w:rsidR="00714A24" w:rsidRPr="001E366B">
        <w:rPr>
          <w:sz w:val="24"/>
          <w:szCs w:val="24"/>
        </w:rPr>
        <w:t xml:space="preserve">pharmacy </w:t>
      </w:r>
      <w:r w:rsidR="00A73995" w:rsidRPr="001E366B">
        <w:rPr>
          <w:sz w:val="24"/>
          <w:szCs w:val="24"/>
        </w:rPr>
        <w:t xml:space="preserve">education and practice. </w:t>
      </w:r>
      <w:r>
        <w:rPr>
          <w:sz w:val="24"/>
          <w:szCs w:val="24"/>
        </w:rPr>
        <w:t>T</w:t>
      </w:r>
      <w:r w:rsidR="00A73995" w:rsidRPr="001E366B">
        <w:rPr>
          <w:sz w:val="24"/>
          <w:szCs w:val="24"/>
        </w:rPr>
        <w:t xml:space="preserve">here is a need to monitor </w:t>
      </w:r>
      <w:r w:rsidR="00714A24" w:rsidRPr="001E366B">
        <w:rPr>
          <w:sz w:val="24"/>
          <w:szCs w:val="24"/>
        </w:rPr>
        <w:t xml:space="preserve">such </w:t>
      </w:r>
      <w:r w:rsidR="00A73995" w:rsidRPr="001E366B">
        <w:rPr>
          <w:sz w:val="24"/>
          <w:szCs w:val="24"/>
        </w:rPr>
        <w:t>change</w:t>
      </w:r>
      <w:r w:rsidR="00714A24" w:rsidRPr="001E366B">
        <w:rPr>
          <w:sz w:val="24"/>
          <w:szCs w:val="24"/>
        </w:rPr>
        <w:t>s</w:t>
      </w:r>
      <w:r w:rsidR="00A73995" w:rsidRPr="001E366B">
        <w:rPr>
          <w:sz w:val="24"/>
          <w:szCs w:val="24"/>
        </w:rPr>
        <w:t xml:space="preserve">, how </w:t>
      </w:r>
      <w:r w:rsidR="00714A24" w:rsidRPr="001E366B">
        <w:rPr>
          <w:sz w:val="24"/>
          <w:szCs w:val="24"/>
        </w:rPr>
        <w:t>they are</w:t>
      </w:r>
      <w:r w:rsidR="00A73995" w:rsidRPr="001E366B">
        <w:rPr>
          <w:sz w:val="24"/>
          <w:szCs w:val="24"/>
        </w:rPr>
        <w:t xml:space="preserve"> </w:t>
      </w:r>
      <w:proofErr w:type="gramStart"/>
      <w:r w:rsidR="00A73995" w:rsidRPr="001E366B">
        <w:rPr>
          <w:sz w:val="24"/>
          <w:szCs w:val="24"/>
        </w:rPr>
        <w:t>implemented</w:t>
      </w:r>
      <w:proofErr w:type="gramEnd"/>
      <w:r w:rsidR="00A73995" w:rsidRPr="001E366B">
        <w:rPr>
          <w:sz w:val="24"/>
          <w:szCs w:val="24"/>
        </w:rPr>
        <w:t xml:space="preserve"> and the outcomes</w:t>
      </w:r>
      <w:r w:rsidR="00714A24" w:rsidRPr="001E366B">
        <w:rPr>
          <w:sz w:val="24"/>
          <w:szCs w:val="24"/>
        </w:rPr>
        <w:t xml:space="preserve"> </w:t>
      </w:r>
      <w:r>
        <w:rPr>
          <w:sz w:val="24"/>
          <w:szCs w:val="24"/>
        </w:rPr>
        <w:t>produced</w:t>
      </w:r>
      <w:r w:rsidR="00A73995" w:rsidRPr="001E366B">
        <w:rPr>
          <w:sz w:val="24"/>
          <w:szCs w:val="24"/>
        </w:rPr>
        <w:t xml:space="preserve">. </w:t>
      </w:r>
      <w:r>
        <w:rPr>
          <w:sz w:val="24"/>
          <w:szCs w:val="24"/>
        </w:rPr>
        <w:t>L</w:t>
      </w:r>
      <w:r w:rsidR="00A73995" w:rsidRPr="001E366B">
        <w:rPr>
          <w:sz w:val="24"/>
          <w:szCs w:val="24"/>
        </w:rPr>
        <w:t xml:space="preserve">arge scale, </w:t>
      </w:r>
      <w:r>
        <w:rPr>
          <w:sz w:val="24"/>
          <w:szCs w:val="24"/>
        </w:rPr>
        <w:t xml:space="preserve">national, </w:t>
      </w:r>
      <w:r w:rsidR="00A73995" w:rsidRPr="001E366B">
        <w:rPr>
          <w:sz w:val="24"/>
          <w:szCs w:val="24"/>
        </w:rPr>
        <w:t xml:space="preserve">profession-wide data collection </w:t>
      </w:r>
      <w:r w:rsidR="00754DFA" w:rsidRPr="001E366B">
        <w:rPr>
          <w:sz w:val="24"/>
          <w:szCs w:val="24"/>
        </w:rPr>
        <w:t>is</w:t>
      </w:r>
      <w:r w:rsidR="00A73995" w:rsidRPr="001E366B">
        <w:rPr>
          <w:sz w:val="24"/>
          <w:szCs w:val="24"/>
        </w:rPr>
        <w:t xml:space="preserve"> essential </w:t>
      </w:r>
      <w:r>
        <w:rPr>
          <w:sz w:val="24"/>
          <w:szCs w:val="24"/>
        </w:rPr>
        <w:t>to</w:t>
      </w:r>
      <w:r w:rsidRPr="001E366B">
        <w:rPr>
          <w:sz w:val="24"/>
          <w:szCs w:val="24"/>
        </w:rPr>
        <w:t xml:space="preserve"> </w:t>
      </w:r>
      <w:r w:rsidR="00A73995" w:rsidRPr="001E366B">
        <w:rPr>
          <w:sz w:val="24"/>
          <w:szCs w:val="24"/>
        </w:rPr>
        <w:t xml:space="preserve">provide </w:t>
      </w:r>
      <w:r>
        <w:rPr>
          <w:sz w:val="24"/>
          <w:szCs w:val="24"/>
        </w:rPr>
        <w:t>a</w:t>
      </w:r>
      <w:r w:rsidR="009C1F1D" w:rsidRPr="001E366B">
        <w:rPr>
          <w:sz w:val="24"/>
          <w:szCs w:val="24"/>
        </w:rPr>
        <w:t xml:space="preserve"> </w:t>
      </w:r>
      <w:r w:rsidR="00A73995" w:rsidRPr="001E366B">
        <w:rPr>
          <w:sz w:val="24"/>
          <w:szCs w:val="24"/>
        </w:rPr>
        <w:t xml:space="preserve">macro-perspective, </w:t>
      </w:r>
      <w:r>
        <w:rPr>
          <w:sz w:val="24"/>
          <w:szCs w:val="24"/>
        </w:rPr>
        <w:t>while projects</w:t>
      </w:r>
      <w:r w:rsidRPr="001E366B">
        <w:rPr>
          <w:sz w:val="24"/>
          <w:szCs w:val="24"/>
        </w:rPr>
        <w:t xml:space="preserve"> </w:t>
      </w:r>
      <w:r w:rsidR="00A73995" w:rsidRPr="001E366B">
        <w:rPr>
          <w:sz w:val="24"/>
          <w:szCs w:val="24"/>
        </w:rPr>
        <w:t xml:space="preserve">such as that reported </w:t>
      </w:r>
      <w:r w:rsidR="00A73995" w:rsidRPr="001E366B">
        <w:rPr>
          <w:sz w:val="24"/>
          <w:szCs w:val="24"/>
        </w:rPr>
        <w:lastRenderedPageBreak/>
        <w:t xml:space="preserve">in this article </w:t>
      </w:r>
      <w:r>
        <w:rPr>
          <w:sz w:val="24"/>
          <w:szCs w:val="24"/>
        </w:rPr>
        <w:t>give insight at the</w:t>
      </w:r>
      <w:r w:rsidR="00754DFA" w:rsidRPr="001E366B">
        <w:rPr>
          <w:sz w:val="24"/>
          <w:szCs w:val="24"/>
        </w:rPr>
        <w:t xml:space="preserve"> meso-</w:t>
      </w:r>
      <w:r w:rsidR="005B59BB" w:rsidRPr="001E366B">
        <w:rPr>
          <w:sz w:val="24"/>
          <w:szCs w:val="24"/>
        </w:rPr>
        <w:t>scale</w:t>
      </w:r>
      <w:r>
        <w:rPr>
          <w:sz w:val="24"/>
          <w:szCs w:val="24"/>
        </w:rPr>
        <w:t>, community</w:t>
      </w:r>
      <w:r w:rsidR="005B59BB" w:rsidRPr="001E366B">
        <w:rPr>
          <w:sz w:val="24"/>
          <w:szCs w:val="24"/>
        </w:rPr>
        <w:t xml:space="preserve"> </w:t>
      </w:r>
      <w:r w:rsidR="00754DFA" w:rsidRPr="001E366B">
        <w:rPr>
          <w:sz w:val="24"/>
          <w:szCs w:val="24"/>
        </w:rPr>
        <w:t xml:space="preserve">level and the micro-level of individual </w:t>
      </w:r>
      <w:proofErr w:type="gramStart"/>
      <w:r w:rsidR="00754DFA" w:rsidRPr="001E366B">
        <w:rPr>
          <w:sz w:val="24"/>
          <w:szCs w:val="24"/>
        </w:rPr>
        <w:t>practitioners</w:t>
      </w:r>
      <w:r w:rsidR="00E66023">
        <w:rPr>
          <w:sz w:val="24"/>
          <w:szCs w:val="24"/>
        </w:rPr>
        <w:t>[</w:t>
      </w:r>
      <w:proofErr w:type="gramEnd"/>
      <w:r w:rsidR="00E66023">
        <w:rPr>
          <w:sz w:val="24"/>
          <w:szCs w:val="24"/>
        </w:rPr>
        <w:t>39]</w:t>
      </w:r>
      <w:r w:rsidR="00754DFA" w:rsidRPr="001E366B">
        <w:rPr>
          <w:sz w:val="24"/>
          <w:szCs w:val="24"/>
        </w:rPr>
        <w:t xml:space="preserve">. </w:t>
      </w:r>
      <w:r>
        <w:rPr>
          <w:sz w:val="24"/>
          <w:szCs w:val="24"/>
        </w:rPr>
        <w:t>T</w:t>
      </w:r>
      <w:r w:rsidR="00754DFA" w:rsidRPr="001E366B">
        <w:rPr>
          <w:sz w:val="24"/>
          <w:szCs w:val="24"/>
        </w:rPr>
        <w:t xml:space="preserve">here is a need for further localised studies of the regional, </w:t>
      </w:r>
      <w:proofErr w:type="gramStart"/>
      <w:r w:rsidR="00754DFA" w:rsidRPr="001E366B">
        <w:rPr>
          <w:sz w:val="24"/>
          <w:szCs w:val="24"/>
        </w:rPr>
        <w:t>rural</w:t>
      </w:r>
      <w:proofErr w:type="gramEnd"/>
      <w:r w:rsidR="00754DFA" w:rsidRPr="001E366B">
        <w:rPr>
          <w:sz w:val="24"/>
          <w:szCs w:val="24"/>
        </w:rPr>
        <w:t xml:space="preserve"> and remote pharmacy workforce (as well as other health </w:t>
      </w:r>
      <w:r w:rsidR="00E37661">
        <w:rPr>
          <w:sz w:val="24"/>
          <w:szCs w:val="24"/>
        </w:rPr>
        <w:t>professions</w:t>
      </w:r>
      <w:r w:rsidR="00754DFA" w:rsidRPr="001E366B">
        <w:rPr>
          <w:sz w:val="24"/>
          <w:szCs w:val="24"/>
        </w:rPr>
        <w:t xml:space="preserve">) to better understand local variation in work patterns and </w:t>
      </w:r>
      <w:r w:rsidR="00805DA8">
        <w:rPr>
          <w:sz w:val="24"/>
          <w:szCs w:val="24"/>
        </w:rPr>
        <w:t xml:space="preserve">the </w:t>
      </w:r>
      <w:r w:rsidR="00754DFA" w:rsidRPr="001E366B">
        <w:rPr>
          <w:sz w:val="24"/>
          <w:szCs w:val="24"/>
        </w:rPr>
        <w:t>needs of practitioners</w:t>
      </w:r>
      <w:r w:rsidR="005B59BB" w:rsidRPr="001E366B">
        <w:rPr>
          <w:sz w:val="24"/>
          <w:szCs w:val="24"/>
        </w:rPr>
        <w:t xml:space="preserve"> and </w:t>
      </w:r>
      <w:r w:rsidR="00E37661">
        <w:rPr>
          <w:sz w:val="24"/>
          <w:szCs w:val="24"/>
        </w:rPr>
        <w:t xml:space="preserve">to </w:t>
      </w:r>
      <w:r w:rsidR="00754DFA" w:rsidRPr="001E366B">
        <w:rPr>
          <w:sz w:val="24"/>
          <w:szCs w:val="24"/>
        </w:rPr>
        <w:t xml:space="preserve">inform </w:t>
      </w:r>
      <w:r w:rsidR="00E37661" w:rsidRPr="001E366B">
        <w:rPr>
          <w:sz w:val="24"/>
          <w:szCs w:val="24"/>
        </w:rPr>
        <w:t xml:space="preserve">support and </w:t>
      </w:r>
      <w:r w:rsidR="00E37661">
        <w:rPr>
          <w:sz w:val="24"/>
          <w:szCs w:val="24"/>
        </w:rPr>
        <w:t xml:space="preserve">future </w:t>
      </w:r>
      <w:r w:rsidR="00E37661" w:rsidRPr="001E366B">
        <w:rPr>
          <w:sz w:val="24"/>
          <w:szCs w:val="24"/>
        </w:rPr>
        <w:t>development</w:t>
      </w:r>
      <w:r w:rsidR="0013604E" w:rsidRPr="001E366B">
        <w:rPr>
          <w:sz w:val="24"/>
          <w:szCs w:val="24"/>
        </w:rPr>
        <w:t xml:space="preserve">. </w:t>
      </w:r>
    </w:p>
    <w:p w14:paraId="54A07F74" w14:textId="2FA583D2" w:rsidR="004E230C" w:rsidRDefault="004E230C" w:rsidP="087094F4">
      <w:pPr>
        <w:spacing w:after="120" w:line="360" w:lineRule="auto"/>
        <w:rPr>
          <w:sz w:val="24"/>
          <w:szCs w:val="24"/>
        </w:rPr>
      </w:pPr>
    </w:p>
    <w:p w14:paraId="309A92DC" w14:textId="77777777" w:rsidR="00D62ED0" w:rsidRPr="007B2ED5" w:rsidRDefault="00D62ED0" w:rsidP="00D62ED0">
      <w:pPr>
        <w:spacing w:after="120" w:line="240" w:lineRule="auto"/>
        <w:rPr>
          <w:rFonts w:cstheme="minorHAnsi"/>
          <w:b/>
          <w:sz w:val="24"/>
          <w:szCs w:val="28"/>
        </w:rPr>
      </w:pPr>
      <w:r w:rsidRPr="00EF7646">
        <w:rPr>
          <w:rFonts w:cstheme="minorHAnsi"/>
          <w:b/>
          <w:sz w:val="28"/>
          <w:szCs w:val="28"/>
        </w:rPr>
        <w:t>Acknowledgements</w:t>
      </w:r>
    </w:p>
    <w:p w14:paraId="7BBEDBF0" w14:textId="3500BEB1" w:rsidR="00D62ED0" w:rsidRPr="00EF7646" w:rsidRDefault="00D62ED0" w:rsidP="00D62ED0">
      <w:pPr>
        <w:spacing w:after="120" w:line="360" w:lineRule="auto"/>
        <w:rPr>
          <w:sz w:val="24"/>
          <w:szCs w:val="24"/>
        </w:rPr>
      </w:pPr>
      <w:r w:rsidRPr="00EF7646">
        <w:rPr>
          <w:rFonts w:cstheme="minorHAnsi"/>
          <w:sz w:val="24"/>
          <w:szCs w:val="24"/>
        </w:rPr>
        <w:t>Voluntary participation of the survey respondents was gratefully appreciated. The authors acknowledge the advice, feedback and support of the Director of the University of Newcastle Department of Rural Health, Professor Jenny May.</w:t>
      </w:r>
    </w:p>
    <w:p w14:paraId="424BA6BE" w14:textId="77777777" w:rsidR="00982397" w:rsidRDefault="00982397" w:rsidP="00184E3A">
      <w:pPr>
        <w:spacing w:after="120" w:line="360" w:lineRule="auto"/>
        <w:rPr>
          <w:rFonts w:cstheme="minorHAnsi"/>
          <w:b/>
          <w:sz w:val="28"/>
          <w:szCs w:val="28"/>
        </w:rPr>
      </w:pPr>
    </w:p>
    <w:p w14:paraId="6FCB5531" w14:textId="1D68387C" w:rsidR="00177CAC" w:rsidRPr="00A15D90" w:rsidRDefault="00177CAC" w:rsidP="00184E3A">
      <w:pPr>
        <w:spacing w:after="120" w:line="360" w:lineRule="auto"/>
        <w:rPr>
          <w:rFonts w:cstheme="minorHAnsi"/>
          <w:b/>
          <w:sz w:val="28"/>
          <w:szCs w:val="28"/>
        </w:rPr>
      </w:pPr>
      <w:r w:rsidRPr="00A15D90">
        <w:rPr>
          <w:rFonts w:cstheme="minorHAnsi"/>
          <w:b/>
          <w:sz w:val="28"/>
          <w:szCs w:val="28"/>
        </w:rPr>
        <w:t>References</w:t>
      </w:r>
    </w:p>
    <w:p w14:paraId="5CABC20B" w14:textId="4BF64433" w:rsidR="00DB4DB2" w:rsidRPr="00056D15" w:rsidRDefault="00DB4DB2" w:rsidP="001E366B">
      <w:pPr>
        <w:pStyle w:val="ListParagraph"/>
        <w:numPr>
          <w:ilvl w:val="0"/>
          <w:numId w:val="6"/>
        </w:numPr>
        <w:spacing w:after="120" w:line="360" w:lineRule="auto"/>
        <w:ind w:left="426" w:hanging="426"/>
        <w:contextualSpacing w:val="0"/>
        <w:rPr>
          <w:rFonts w:asciiTheme="minorHAnsi" w:hAnsiTheme="minorHAnsi" w:cstheme="minorHAnsi"/>
        </w:rPr>
      </w:pPr>
      <w:r w:rsidRPr="00056D15">
        <w:rPr>
          <w:rFonts w:asciiTheme="minorHAnsi" w:hAnsiTheme="minorHAnsi" w:cstheme="minorHAnsi"/>
        </w:rPr>
        <w:t xml:space="preserve">Australian Institute of Health and Welfare (AIHW) 2013. Allied health workforce 2012. National health workforce series no.5. Cat. no. HWL51. Canberra: AIHW. Available: </w:t>
      </w:r>
      <w:hyperlink r:id="rId11" w:history="1">
        <w:r w:rsidRPr="00056D15">
          <w:rPr>
            <w:rStyle w:val="Hyperlink"/>
            <w:rFonts w:asciiTheme="minorHAnsi" w:hAnsiTheme="minorHAnsi" w:cstheme="minorHAnsi"/>
          </w:rPr>
          <w:t>https://www.aihw.gov.au/reports/workforce/allied-health-workforce-2012/contents/table-of-contents</w:t>
        </w:r>
      </w:hyperlink>
      <w:r w:rsidRPr="00056D15">
        <w:rPr>
          <w:rFonts w:asciiTheme="minorHAnsi" w:hAnsiTheme="minorHAnsi" w:cstheme="minorHAnsi"/>
        </w:rPr>
        <w:t xml:space="preserve"> Accessed </w:t>
      </w:r>
      <w:r w:rsidR="00972798">
        <w:rPr>
          <w:rFonts w:asciiTheme="minorHAnsi" w:hAnsiTheme="minorHAnsi" w:cstheme="minorHAnsi"/>
        </w:rPr>
        <w:t>30 August 2021.</w:t>
      </w:r>
    </w:p>
    <w:p w14:paraId="1EA1277B" w14:textId="22CCE89F" w:rsidR="007E6724" w:rsidRPr="00056D15" w:rsidRDefault="007E6724" w:rsidP="001E366B">
      <w:pPr>
        <w:pStyle w:val="ListParagraph"/>
        <w:numPr>
          <w:ilvl w:val="0"/>
          <w:numId w:val="6"/>
        </w:numPr>
        <w:spacing w:after="120" w:line="360" w:lineRule="auto"/>
        <w:ind w:left="425" w:hanging="436"/>
        <w:contextualSpacing w:val="0"/>
        <w:rPr>
          <w:rFonts w:asciiTheme="minorHAnsi" w:hAnsiTheme="minorHAnsi" w:cstheme="minorHAnsi"/>
        </w:rPr>
      </w:pPr>
      <w:r w:rsidRPr="00056D15">
        <w:rPr>
          <w:rFonts w:asciiTheme="minorHAnsi" w:hAnsiTheme="minorHAnsi" w:cstheme="minorHAnsi"/>
        </w:rPr>
        <w:t xml:space="preserve">Australian Health Practitioner Regulation Agency (AHPRA) and National Boards. 2018/19 Annual Report. Our National Scheme for Safer Health Care. AHPRA, Canberra, ACT. </w:t>
      </w:r>
      <w:r w:rsidR="001D4100" w:rsidRPr="00056D15">
        <w:rPr>
          <w:rFonts w:asciiTheme="minorHAnsi" w:hAnsiTheme="minorHAnsi" w:cstheme="minorHAnsi"/>
        </w:rPr>
        <w:t xml:space="preserve">December 2019. </w:t>
      </w:r>
      <w:r w:rsidRPr="00056D15">
        <w:rPr>
          <w:rFonts w:asciiTheme="minorHAnsi" w:hAnsiTheme="minorHAnsi" w:cstheme="minorHAnsi"/>
        </w:rPr>
        <w:t xml:space="preserve">Available: </w:t>
      </w:r>
      <w:hyperlink r:id="rId12" w:history="1">
        <w:r w:rsidRPr="00056D15">
          <w:rPr>
            <w:rStyle w:val="Hyperlink"/>
            <w:rFonts w:asciiTheme="minorHAnsi" w:hAnsiTheme="minorHAnsi" w:cstheme="minorHAnsi"/>
          </w:rPr>
          <w:t>https://www.ahpra.gov.au/Publications/Annual-reports/Annual-Report-2019.aspx</w:t>
        </w:r>
      </w:hyperlink>
      <w:r w:rsidR="00E70439" w:rsidRPr="00056D15">
        <w:rPr>
          <w:rFonts w:asciiTheme="minorHAnsi" w:hAnsiTheme="minorHAnsi" w:cstheme="minorHAnsi"/>
        </w:rPr>
        <w:t xml:space="preserve"> Accessed </w:t>
      </w:r>
      <w:r w:rsidR="00972798">
        <w:rPr>
          <w:rFonts w:asciiTheme="minorHAnsi" w:hAnsiTheme="minorHAnsi" w:cstheme="minorHAnsi"/>
        </w:rPr>
        <w:t>30 August 2021</w:t>
      </w:r>
      <w:r w:rsidRPr="00056D15">
        <w:rPr>
          <w:rFonts w:asciiTheme="minorHAnsi" w:hAnsiTheme="minorHAnsi" w:cstheme="minorHAnsi"/>
        </w:rPr>
        <w:t>.</w:t>
      </w:r>
    </w:p>
    <w:p w14:paraId="7CE8ADFF" w14:textId="648A2116" w:rsidR="00DB4DB2" w:rsidRPr="00056D15" w:rsidRDefault="00DB4DB2" w:rsidP="001E366B">
      <w:pPr>
        <w:pStyle w:val="ListParagraph"/>
        <w:numPr>
          <w:ilvl w:val="0"/>
          <w:numId w:val="6"/>
        </w:numPr>
        <w:spacing w:after="120" w:line="360" w:lineRule="auto"/>
        <w:ind w:left="425" w:hanging="436"/>
        <w:contextualSpacing w:val="0"/>
        <w:rPr>
          <w:rFonts w:asciiTheme="minorHAnsi" w:hAnsiTheme="minorHAnsi" w:cstheme="minorHAnsi"/>
        </w:rPr>
      </w:pPr>
      <w:r w:rsidRPr="00056D15">
        <w:rPr>
          <w:rFonts w:asciiTheme="minorHAnsi" w:hAnsiTheme="minorHAnsi" w:cstheme="minorHAnsi"/>
        </w:rPr>
        <w:t>Sutton K, Smith T, Waller S. Australia’s Health Workforce. In Willis E, Reynolds L, Rudge T. Under</w:t>
      </w:r>
      <w:r w:rsidR="003A06A8" w:rsidRPr="00056D15">
        <w:rPr>
          <w:rFonts w:asciiTheme="minorHAnsi" w:hAnsiTheme="minorHAnsi" w:cstheme="minorHAnsi"/>
        </w:rPr>
        <w:t>standing the Australian Health C</w:t>
      </w:r>
      <w:r w:rsidRPr="00056D15">
        <w:rPr>
          <w:rFonts w:asciiTheme="minorHAnsi" w:hAnsiTheme="minorHAnsi" w:cstheme="minorHAnsi"/>
        </w:rPr>
        <w:t>are System. Elsevier; Chatswood, 2020.</w:t>
      </w:r>
    </w:p>
    <w:p w14:paraId="172241BB" w14:textId="3B25D371" w:rsidR="00E70439" w:rsidRPr="00056D15" w:rsidRDefault="00E70439" w:rsidP="001E366B">
      <w:pPr>
        <w:pStyle w:val="ListParagraph"/>
        <w:numPr>
          <w:ilvl w:val="0"/>
          <w:numId w:val="6"/>
        </w:numPr>
        <w:spacing w:after="120" w:line="360" w:lineRule="auto"/>
        <w:ind w:left="425" w:hanging="436"/>
        <w:contextualSpacing w:val="0"/>
        <w:rPr>
          <w:rFonts w:asciiTheme="minorHAnsi" w:hAnsiTheme="minorHAnsi" w:cstheme="minorHAnsi"/>
        </w:rPr>
      </w:pPr>
      <w:r w:rsidRPr="00056D15">
        <w:rPr>
          <w:rFonts w:asciiTheme="minorHAnsi" w:hAnsiTheme="minorHAnsi" w:cstheme="minorHAnsi"/>
        </w:rPr>
        <w:t xml:space="preserve">Australian Government Department of Health. Australian Statistical Geography Standard - Remoteness Area (ASGS-RA). </w:t>
      </w:r>
      <w:hyperlink r:id="rId13" w:history="1">
        <w:r w:rsidRPr="00056D15">
          <w:rPr>
            <w:rFonts w:asciiTheme="minorHAnsi" w:hAnsiTheme="minorHAnsi" w:cstheme="minorHAnsi"/>
            <w:color w:val="0000FF"/>
            <w:u w:val="single"/>
          </w:rPr>
          <w:t>https://www.health.gov.au/health-workforce/health-workforce-classifications/australian-statistical-geography-standard-remoteness-area</w:t>
        </w:r>
      </w:hyperlink>
      <w:r w:rsidRPr="00056D15">
        <w:rPr>
          <w:rFonts w:asciiTheme="minorHAnsi" w:hAnsiTheme="minorHAnsi" w:cstheme="minorHAnsi"/>
        </w:rPr>
        <w:t xml:space="preserve">. Published 2019. Updated 8th </w:t>
      </w:r>
      <w:proofErr w:type="gramStart"/>
      <w:r w:rsidRPr="00056D15">
        <w:rPr>
          <w:rFonts w:asciiTheme="minorHAnsi" w:hAnsiTheme="minorHAnsi" w:cstheme="minorHAnsi"/>
        </w:rPr>
        <w:t>July,</w:t>
      </w:r>
      <w:proofErr w:type="gramEnd"/>
      <w:r w:rsidRPr="00056D15">
        <w:rPr>
          <w:rFonts w:asciiTheme="minorHAnsi" w:hAnsiTheme="minorHAnsi" w:cstheme="minorHAnsi"/>
        </w:rPr>
        <w:t xml:space="preserve"> 2019. Accessed </w:t>
      </w:r>
      <w:r w:rsidR="00972798">
        <w:rPr>
          <w:rFonts w:asciiTheme="minorHAnsi" w:hAnsiTheme="minorHAnsi" w:cstheme="minorHAnsi"/>
        </w:rPr>
        <w:t>30 August 2021</w:t>
      </w:r>
      <w:r w:rsidRPr="00056D15">
        <w:rPr>
          <w:rFonts w:asciiTheme="minorHAnsi" w:hAnsiTheme="minorHAnsi" w:cstheme="minorHAnsi"/>
        </w:rPr>
        <w:t>.</w:t>
      </w:r>
    </w:p>
    <w:p w14:paraId="35CF47A9" w14:textId="3C35CC42" w:rsidR="006343BA" w:rsidRPr="00056D15" w:rsidRDefault="006343BA" w:rsidP="001E366B">
      <w:pPr>
        <w:pStyle w:val="ListParagraph"/>
        <w:numPr>
          <w:ilvl w:val="0"/>
          <w:numId w:val="6"/>
        </w:numPr>
        <w:spacing w:after="120" w:line="360" w:lineRule="auto"/>
        <w:ind w:left="425" w:hanging="436"/>
        <w:contextualSpacing w:val="0"/>
        <w:rPr>
          <w:rFonts w:asciiTheme="minorHAnsi" w:hAnsiTheme="minorHAnsi" w:cstheme="minorHAnsi"/>
        </w:rPr>
      </w:pPr>
      <w:r w:rsidRPr="00056D15">
        <w:rPr>
          <w:rFonts w:asciiTheme="minorHAnsi" w:hAnsiTheme="minorHAnsi" w:cstheme="minorHAnsi"/>
        </w:rPr>
        <w:t>Hays R, Sen Gupta T. Developing a general practice workforce for the future. Aust</w:t>
      </w:r>
      <w:r w:rsidR="0008279C" w:rsidRPr="00056D15">
        <w:rPr>
          <w:rFonts w:asciiTheme="minorHAnsi" w:hAnsiTheme="minorHAnsi" w:cstheme="minorHAnsi"/>
        </w:rPr>
        <w:t xml:space="preserve"> </w:t>
      </w:r>
      <w:r w:rsidRPr="00056D15">
        <w:rPr>
          <w:rFonts w:asciiTheme="minorHAnsi" w:hAnsiTheme="minorHAnsi" w:cstheme="minorHAnsi"/>
        </w:rPr>
        <w:t>J</w:t>
      </w:r>
      <w:r w:rsidR="0008279C" w:rsidRPr="00056D15">
        <w:rPr>
          <w:rFonts w:asciiTheme="minorHAnsi" w:hAnsiTheme="minorHAnsi" w:cstheme="minorHAnsi"/>
        </w:rPr>
        <w:t xml:space="preserve"> Gen </w:t>
      </w:r>
      <w:proofErr w:type="spellStart"/>
      <w:r w:rsidR="0008279C" w:rsidRPr="00056D15">
        <w:rPr>
          <w:rFonts w:asciiTheme="minorHAnsi" w:hAnsiTheme="minorHAnsi" w:cstheme="minorHAnsi"/>
        </w:rPr>
        <w:t>Pract</w:t>
      </w:r>
      <w:proofErr w:type="spellEnd"/>
      <w:r w:rsidR="0008279C" w:rsidRPr="00056D15">
        <w:rPr>
          <w:rFonts w:asciiTheme="minorHAnsi" w:hAnsiTheme="minorHAnsi" w:cstheme="minorHAnsi"/>
        </w:rPr>
        <w:t xml:space="preserve"> 2018;</w:t>
      </w:r>
      <w:r w:rsidR="008142AF">
        <w:rPr>
          <w:rFonts w:asciiTheme="minorHAnsi" w:hAnsiTheme="minorHAnsi" w:cstheme="minorHAnsi"/>
        </w:rPr>
        <w:t xml:space="preserve"> </w:t>
      </w:r>
      <w:r w:rsidR="0008279C" w:rsidRPr="00056D15">
        <w:rPr>
          <w:rFonts w:asciiTheme="minorHAnsi" w:hAnsiTheme="minorHAnsi" w:cstheme="minorHAnsi"/>
        </w:rPr>
        <w:t>47(8):</w:t>
      </w:r>
      <w:r w:rsidR="008142AF">
        <w:rPr>
          <w:rFonts w:asciiTheme="minorHAnsi" w:hAnsiTheme="minorHAnsi" w:cstheme="minorHAnsi"/>
        </w:rPr>
        <w:t xml:space="preserve"> </w:t>
      </w:r>
      <w:r w:rsidRPr="00056D15">
        <w:rPr>
          <w:rFonts w:asciiTheme="minorHAnsi" w:hAnsiTheme="minorHAnsi" w:cstheme="minorHAnsi"/>
        </w:rPr>
        <w:t xml:space="preserve">502-505. </w:t>
      </w:r>
      <w:proofErr w:type="spellStart"/>
      <w:r w:rsidRPr="00056D15">
        <w:rPr>
          <w:rFonts w:asciiTheme="minorHAnsi" w:hAnsiTheme="minorHAnsi" w:cstheme="minorHAnsi"/>
        </w:rPr>
        <w:t>doi</w:t>
      </w:r>
      <w:proofErr w:type="spellEnd"/>
      <w:r w:rsidRPr="00056D15">
        <w:rPr>
          <w:rFonts w:asciiTheme="minorHAnsi" w:hAnsiTheme="minorHAnsi" w:cstheme="minorHAnsi"/>
        </w:rPr>
        <w:t xml:space="preserve">: </w:t>
      </w:r>
      <w:hyperlink r:id="rId14" w:history="1">
        <w:r w:rsidRPr="00056D15">
          <w:rPr>
            <w:rStyle w:val="Hyperlink"/>
            <w:rFonts w:asciiTheme="minorHAnsi" w:hAnsiTheme="minorHAnsi" w:cstheme="minorHAnsi"/>
          </w:rPr>
          <w:t>10.31128/AJGP-02-18-4488</w:t>
        </w:r>
      </w:hyperlink>
      <w:r w:rsidRPr="00056D15">
        <w:rPr>
          <w:rFonts w:asciiTheme="minorHAnsi" w:hAnsiTheme="minorHAnsi" w:cstheme="minorHAnsi"/>
        </w:rPr>
        <w:t xml:space="preserve"> </w:t>
      </w:r>
    </w:p>
    <w:p w14:paraId="74EBD94D" w14:textId="7AAF0C56" w:rsidR="008D48CC" w:rsidRPr="00056D15" w:rsidRDefault="008D48CC" w:rsidP="001E366B">
      <w:pPr>
        <w:pStyle w:val="ListParagraph"/>
        <w:numPr>
          <w:ilvl w:val="0"/>
          <w:numId w:val="6"/>
        </w:numPr>
        <w:spacing w:after="120" w:line="360" w:lineRule="auto"/>
        <w:ind w:left="425" w:hanging="436"/>
        <w:contextualSpacing w:val="0"/>
        <w:rPr>
          <w:rFonts w:asciiTheme="minorHAnsi" w:hAnsiTheme="minorHAnsi" w:cstheme="minorHAnsi"/>
        </w:rPr>
      </w:pPr>
      <w:r w:rsidRPr="00056D15">
        <w:rPr>
          <w:rFonts w:asciiTheme="minorHAnsi" w:hAnsiTheme="minorHAnsi" w:cstheme="minorHAnsi"/>
        </w:rPr>
        <w:lastRenderedPageBreak/>
        <w:t xml:space="preserve">Hawthorne N, Anderson C. The global pharmacy workforce: as systematic review of the literature. Hum </w:t>
      </w:r>
      <w:proofErr w:type="spellStart"/>
      <w:r w:rsidRPr="00056D15">
        <w:rPr>
          <w:rFonts w:asciiTheme="minorHAnsi" w:hAnsiTheme="minorHAnsi" w:cstheme="minorHAnsi"/>
        </w:rPr>
        <w:t>Resour</w:t>
      </w:r>
      <w:proofErr w:type="spellEnd"/>
      <w:r w:rsidRPr="00056D15">
        <w:rPr>
          <w:rFonts w:asciiTheme="minorHAnsi" w:hAnsiTheme="minorHAnsi" w:cstheme="minorHAnsi"/>
        </w:rPr>
        <w:t xml:space="preserve"> Health</w:t>
      </w:r>
      <w:r w:rsidR="0008279C" w:rsidRPr="00056D15">
        <w:rPr>
          <w:rFonts w:asciiTheme="minorHAnsi" w:hAnsiTheme="minorHAnsi" w:cstheme="minorHAnsi"/>
        </w:rPr>
        <w:t xml:space="preserve"> 2009;</w:t>
      </w:r>
      <w:r w:rsidR="008142AF">
        <w:rPr>
          <w:rFonts w:asciiTheme="minorHAnsi" w:hAnsiTheme="minorHAnsi" w:cstheme="minorHAnsi"/>
        </w:rPr>
        <w:t xml:space="preserve"> </w:t>
      </w:r>
      <w:r w:rsidR="0008279C" w:rsidRPr="00056D15">
        <w:rPr>
          <w:rFonts w:asciiTheme="minorHAnsi" w:hAnsiTheme="minorHAnsi" w:cstheme="minorHAnsi"/>
        </w:rPr>
        <w:t>7:</w:t>
      </w:r>
      <w:r w:rsidR="008142AF">
        <w:rPr>
          <w:rFonts w:asciiTheme="minorHAnsi" w:hAnsiTheme="minorHAnsi" w:cstheme="minorHAnsi"/>
        </w:rPr>
        <w:t xml:space="preserve"> </w:t>
      </w:r>
      <w:r w:rsidRPr="00056D15">
        <w:rPr>
          <w:rFonts w:asciiTheme="minorHAnsi" w:hAnsiTheme="minorHAnsi" w:cstheme="minorHAnsi"/>
        </w:rPr>
        <w:t xml:space="preserve">48. Available: </w:t>
      </w:r>
      <w:hyperlink r:id="rId15" w:history="1">
        <w:r w:rsidRPr="00056D15">
          <w:rPr>
            <w:rStyle w:val="Hyperlink"/>
            <w:rFonts w:asciiTheme="minorHAnsi" w:hAnsiTheme="minorHAnsi" w:cstheme="minorHAnsi"/>
          </w:rPr>
          <w:t>http://www.human-resources-health.com/content/7/1/48</w:t>
        </w:r>
      </w:hyperlink>
      <w:r w:rsidRPr="00056D15">
        <w:rPr>
          <w:rFonts w:asciiTheme="minorHAnsi" w:hAnsiTheme="minorHAnsi" w:cstheme="minorHAnsi"/>
        </w:rPr>
        <w:t xml:space="preserve"> Accessed </w:t>
      </w:r>
      <w:r w:rsidR="00972798">
        <w:rPr>
          <w:rFonts w:asciiTheme="minorHAnsi" w:hAnsiTheme="minorHAnsi" w:cstheme="minorHAnsi"/>
        </w:rPr>
        <w:t>30 August 2021</w:t>
      </w:r>
      <w:r w:rsidR="001476B7" w:rsidRPr="00056D15">
        <w:rPr>
          <w:rFonts w:asciiTheme="minorHAnsi" w:hAnsiTheme="minorHAnsi" w:cstheme="minorHAnsi"/>
        </w:rPr>
        <w:t>.</w:t>
      </w:r>
    </w:p>
    <w:p w14:paraId="0E4EE93F" w14:textId="121C0A1D" w:rsidR="00EB1003" w:rsidRPr="00056D15" w:rsidRDefault="00EB1003" w:rsidP="001E366B">
      <w:pPr>
        <w:pStyle w:val="ListParagraph"/>
        <w:numPr>
          <w:ilvl w:val="0"/>
          <w:numId w:val="6"/>
        </w:numPr>
        <w:spacing w:after="120" w:line="360" w:lineRule="auto"/>
        <w:ind w:left="425" w:hanging="436"/>
        <w:contextualSpacing w:val="0"/>
        <w:rPr>
          <w:rFonts w:asciiTheme="minorHAnsi" w:hAnsiTheme="minorHAnsi" w:cstheme="minorHAnsi"/>
        </w:rPr>
      </w:pPr>
      <w:r w:rsidRPr="00056D15">
        <w:rPr>
          <w:rFonts w:asciiTheme="minorHAnsi" w:hAnsiTheme="minorHAnsi" w:cstheme="minorHAnsi"/>
        </w:rPr>
        <w:t>Pearson D. Rise and rise of women and young pharmacists. Pharmacy Review</w:t>
      </w:r>
      <w:r w:rsidR="003A06A8" w:rsidRPr="00056D15">
        <w:rPr>
          <w:rFonts w:asciiTheme="minorHAnsi" w:hAnsiTheme="minorHAnsi" w:cstheme="minorHAnsi"/>
        </w:rPr>
        <w:t xml:space="preserve"> 2006;</w:t>
      </w:r>
      <w:r w:rsidR="008142AF">
        <w:rPr>
          <w:rFonts w:asciiTheme="minorHAnsi" w:hAnsiTheme="minorHAnsi" w:cstheme="minorHAnsi"/>
        </w:rPr>
        <w:t xml:space="preserve"> </w:t>
      </w:r>
      <w:r w:rsidR="003A06A8" w:rsidRPr="00056D15">
        <w:rPr>
          <w:rFonts w:asciiTheme="minorHAnsi" w:hAnsiTheme="minorHAnsi" w:cstheme="minorHAnsi"/>
        </w:rPr>
        <w:t>30:</w:t>
      </w:r>
      <w:r w:rsidR="008142AF">
        <w:rPr>
          <w:rFonts w:asciiTheme="minorHAnsi" w:hAnsiTheme="minorHAnsi" w:cstheme="minorHAnsi"/>
        </w:rPr>
        <w:t xml:space="preserve"> </w:t>
      </w:r>
      <w:r w:rsidRPr="00056D15">
        <w:rPr>
          <w:rFonts w:asciiTheme="minorHAnsi" w:hAnsiTheme="minorHAnsi" w:cstheme="minorHAnsi"/>
        </w:rPr>
        <w:t xml:space="preserve">24-25. </w:t>
      </w:r>
    </w:p>
    <w:p w14:paraId="17300C50" w14:textId="2EE3A98C" w:rsidR="00EB1003" w:rsidRPr="00056D15" w:rsidRDefault="00EB1003" w:rsidP="001E366B">
      <w:pPr>
        <w:pStyle w:val="ListParagraph"/>
        <w:numPr>
          <w:ilvl w:val="0"/>
          <w:numId w:val="6"/>
        </w:numPr>
        <w:spacing w:after="120" w:line="360" w:lineRule="auto"/>
        <w:ind w:left="426" w:hanging="426"/>
        <w:contextualSpacing w:val="0"/>
        <w:rPr>
          <w:rFonts w:asciiTheme="minorHAnsi" w:eastAsiaTheme="minorEastAsia" w:hAnsiTheme="minorHAnsi" w:cstheme="minorHAnsi"/>
          <w:noProof/>
          <w:lang w:eastAsia="zh-CN"/>
        </w:rPr>
      </w:pPr>
      <w:r w:rsidRPr="00056D15">
        <w:rPr>
          <w:rFonts w:asciiTheme="minorHAnsi" w:hAnsiTheme="minorHAnsi" w:cstheme="minorHAnsi"/>
        </w:rPr>
        <w:t xml:space="preserve">Seston E, Hassell K, </w:t>
      </w:r>
      <w:proofErr w:type="spellStart"/>
      <w:r w:rsidRPr="00056D15">
        <w:rPr>
          <w:rFonts w:asciiTheme="minorHAnsi" w:hAnsiTheme="minorHAnsi" w:cstheme="minorHAnsi"/>
        </w:rPr>
        <w:t>Schafheutle</w:t>
      </w:r>
      <w:proofErr w:type="spellEnd"/>
      <w:r w:rsidRPr="00056D15">
        <w:rPr>
          <w:rFonts w:asciiTheme="minorHAnsi" w:hAnsiTheme="minorHAnsi" w:cstheme="minorHAnsi"/>
        </w:rPr>
        <w:t xml:space="preserve"> E. Workforce update - joiners, leavers, and practising and non-practising pharmacists on the 2007 Register. </w:t>
      </w:r>
      <w:r w:rsidR="003A06A8" w:rsidRPr="00056D15">
        <w:rPr>
          <w:rFonts w:asciiTheme="minorHAnsi" w:hAnsiTheme="minorHAnsi" w:cstheme="minorHAnsi"/>
        </w:rPr>
        <w:t>Pharm J</w:t>
      </w:r>
      <w:r w:rsidRPr="00056D15">
        <w:rPr>
          <w:rFonts w:asciiTheme="minorHAnsi" w:hAnsiTheme="minorHAnsi" w:cstheme="minorHAnsi"/>
        </w:rPr>
        <w:t xml:space="preserve"> </w:t>
      </w:r>
      <w:r w:rsidR="003A06A8" w:rsidRPr="00056D15">
        <w:rPr>
          <w:rFonts w:asciiTheme="minorHAnsi" w:hAnsiTheme="minorHAnsi" w:cstheme="minorHAnsi"/>
        </w:rPr>
        <w:t>2007;</w:t>
      </w:r>
      <w:r w:rsidR="008142AF">
        <w:rPr>
          <w:rFonts w:asciiTheme="minorHAnsi" w:hAnsiTheme="minorHAnsi" w:cstheme="minorHAnsi"/>
        </w:rPr>
        <w:t xml:space="preserve"> </w:t>
      </w:r>
      <w:r w:rsidR="003A06A8" w:rsidRPr="00056D15">
        <w:rPr>
          <w:rFonts w:asciiTheme="minorHAnsi" w:hAnsiTheme="minorHAnsi" w:cstheme="minorHAnsi"/>
        </w:rPr>
        <w:t>279:</w:t>
      </w:r>
      <w:r w:rsidR="008142AF">
        <w:rPr>
          <w:rFonts w:asciiTheme="minorHAnsi" w:hAnsiTheme="minorHAnsi" w:cstheme="minorHAnsi"/>
        </w:rPr>
        <w:t xml:space="preserve"> </w:t>
      </w:r>
      <w:r w:rsidRPr="00056D15">
        <w:rPr>
          <w:rFonts w:asciiTheme="minorHAnsi" w:hAnsiTheme="minorHAnsi" w:cstheme="minorHAnsi"/>
        </w:rPr>
        <w:t xml:space="preserve">691-693. </w:t>
      </w:r>
    </w:p>
    <w:p w14:paraId="3CA47A20" w14:textId="1308A39F" w:rsidR="00EB1003" w:rsidRPr="00056D15" w:rsidRDefault="00EB1003" w:rsidP="001E366B">
      <w:pPr>
        <w:pStyle w:val="ListParagraph"/>
        <w:numPr>
          <w:ilvl w:val="0"/>
          <w:numId w:val="6"/>
        </w:numPr>
        <w:spacing w:after="120" w:line="360" w:lineRule="auto"/>
        <w:ind w:left="426" w:hanging="426"/>
        <w:contextualSpacing w:val="0"/>
        <w:rPr>
          <w:rFonts w:asciiTheme="minorHAnsi" w:hAnsiTheme="minorHAnsi" w:cstheme="minorHAnsi"/>
        </w:rPr>
      </w:pPr>
      <w:r w:rsidRPr="00056D15">
        <w:rPr>
          <w:rFonts w:asciiTheme="minorHAnsi" w:hAnsiTheme="minorHAnsi" w:cstheme="minorHAnsi"/>
        </w:rPr>
        <w:t xml:space="preserve">Chen TF. Pharmacy Workforce Planning Study: Literature Review. Human Capital Alliance (HCA), Sydney, 2008. Available: </w:t>
      </w:r>
      <w:hyperlink r:id="rId16" w:history="1">
        <w:r w:rsidRPr="00056D15">
          <w:rPr>
            <w:rStyle w:val="Hyperlink"/>
            <w:rFonts w:asciiTheme="minorHAnsi" w:hAnsiTheme="minorHAnsi" w:cstheme="minorHAnsi"/>
          </w:rPr>
          <w:t>http://6cpa.com.au/wp-content/uploads/Pharmacy-Workforce-Planning-Literature-Review.pdf</w:t>
        </w:r>
      </w:hyperlink>
      <w:r w:rsidRPr="00056D15">
        <w:rPr>
          <w:rFonts w:asciiTheme="minorHAnsi" w:hAnsiTheme="minorHAnsi" w:cstheme="minorHAnsi"/>
        </w:rPr>
        <w:t xml:space="preserve"> Accessed </w:t>
      </w:r>
      <w:r w:rsidR="00972798">
        <w:rPr>
          <w:rFonts w:asciiTheme="minorHAnsi" w:hAnsiTheme="minorHAnsi" w:cstheme="minorHAnsi"/>
        </w:rPr>
        <w:t>30 August 2021</w:t>
      </w:r>
      <w:r w:rsidRPr="00056D15">
        <w:rPr>
          <w:rFonts w:asciiTheme="minorHAnsi" w:hAnsiTheme="minorHAnsi" w:cstheme="minorHAnsi"/>
        </w:rPr>
        <w:t>.</w:t>
      </w:r>
    </w:p>
    <w:p w14:paraId="2B842B04" w14:textId="7ADD0820" w:rsidR="00EB1003" w:rsidRPr="00056D15" w:rsidRDefault="00EB1003" w:rsidP="001E366B">
      <w:pPr>
        <w:pStyle w:val="ListParagraph"/>
        <w:numPr>
          <w:ilvl w:val="0"/>
          <w:numId w:val="6"/>
        </w:numPr>
        <w:spacing w:after="120" w:line="360" w:lineRule="auto"/>
        <w:ind w:left="426" w:hanging="426"/>
        <w:contextualSpacing w:val="0"/>
        <w:rPr>
          <w:rFonts w:asciiTheme="minorHAnsi" w:hAnsiTheme="minorHAnsi" w:cstheme="minorHAnsi"/>
        </w:rPr>
      </w:pPr>
      <w:r w:rsidRPr="00056D15">
        <w:rPr>
          <w:rStyle w:val="publicationcat"/>
          <w:rFonts w:asciiTheme="minorHAnsi" w:hAnsiTheme="minorHAnsi" w:cstheme="minorHAnsi"/>
        </w:rPr>
        <w:t>Mole RJ, Stehlik O. Pharmacy practice in Australia. Can J Hosp Pharm 2015;</w:t>
      </w:r>
      <w:r w:rsidR="008142AF">
        <w:rPr>
          <w:rStyle w:val="publicationcat"/>
          <w:rFonts w:asciiTheme="minorHAnsi" w:hAnsiTheme="minorHAnsi" w:cstheme="minorHAnsi"/>
        </w:rPr>
        <w:t xml:space="preserve"> </w:t>
      </w:r>
      <w:r w:rsidR="003A06A8" w:rsidRPr="00056D15">
        <w:rPr>
          <w:rFonts w:asciiTheme="minorHAnsi" w:hAnsiTheme="minorHAnsi" w:cstheme="minorHAnsi"/>
        </w:rPr>
        <w:t>68(5):</w:t>
      </w:r>
      <w:r w:rsidR="008142AF">
        <w:rPr>
          <w:rFonts w:asciiTheme="minorHAnsi" w:hAnsiTheme="minorHAnsi" w:cstheme="minorHAnsi"/>
        </w:rPr>
        <w:t xml:space="preserve"> </w:t>
      </w:r>
      <w:r w:rsidRPr="00056D15">
        <w:rPr>
          <w:rFonts w:asciiTheme="minorHAnsi" w:hAnsiTheme="minorHAnsi" w:cstheme="minorHAnsi"/>
        </w:rPr>
        <w:t xml:space="preserve">418–426. </w:t>
      </w:r>
      <w:proofErr w:type="spellStart"/>
      <w:r w:rsidRPr="00056D15">
        <w:rPr>
          <w:rFonts w:asciiTheme="minorHAnsi" w:hAnsiTheme="minorHAnsi" w:cstheme="minorHAnsi"/>
        </w:rPr>
        <w:t>doi</w:t>
      </w:r>
      <w:proofErr w:type="spellEnd"/>
      <w:r w:rsidRPr="00056D15">
        <w:rPr>
          <w:rFonts w:asciiTheme="minorHAnsi" w:hAnsiTheme="minorHAnsi" w:cstheme="minorHAnsi"/>
        </w:rPr>
        <w:t>: </w:t>
      </w:r>
      <w:hyperlink r:id="rId17" w:tgtFrame="pmc_ext" w:history="1">
        <w:r w:rsidRPr="00056D15">
          <w:rPr>
            <w:rFonts w:asciiTheme="minorHAnsi" w:hAnsiTheme="minorHAnsi" w:cstheme="minorHAnsi"/>
            <w:color w:val="0000FF"/>
            <w:u w:val="single"/>
          </w:rPr>
          <w:t>10.4212/</w:t>
        </w:r>
        <w:proofErr w:type="gramStart"/>
        <w:r w:rsidRPr="00056D15">
          <w:rPr>
            <w:rFonts w:asciiTheme="minorHAnsi" w:hAnsiTheme="minorHAnsi" w:cstheme="minorHAnsi"/>
            <w:color w:val="0000FF"/>
            <w:u w:val="single"/>
          </w:rPr>
          <w:t>cjhp.v</w:t>
        </w:r>
        <w:proofErr w:type="gramEnd"/>
        <w:r w:rsidRPr="00056D15">
          <w:rPr>
            <w:rFonts w:asciiTheme="minorHAnsi" w:hAnsiTheme="minorHAnsi" w:cstheme="minorHAnsi"/>
            <w:color w:val="0000FF"/>
            <w:u w:val="single"/>
          </w:rPr>
          <w:t>68i5.1492</w:t>
        </w:r>
      </w:hyperlink>
    </w:p>
    <w:p w14:paraId="386A3853" w14:textId="50AF1022" w:rsidR="00EB1003" w:rsidRPr="00056D15" w:rsidRDefault="00EB1003" w:rsidP="001E366B">
      <w:pPr>
        <w:pStyle w:val="ListParagraph"/>
        <w:numPr>
          <w:ilvl w:val="0"/>
          <w:numId w:val="6"/>
        </w:numPr>
        <w:spacing w:after="120" w:line="360" w:lineRule="auto"/>
        <w:ind w:left="426" w:hanging="426"/>
        <w:contextualSpacing w:val="0"/>
        <w:rPr>
          <w:rStyle w:val="articlereference"/>
          <w:rFonts w:asciiTheme="minorHAnsi" w:hAnsiTheme="minorHAnsi" w:cstheme="minorHAnsi"/>
        </w:rPr>
      </w:pPr>
      <w:r w:rsidRPr="00056D15">
        <w:rPr>
          <w:rStyle w:val="publicationcat"/>
          <w:rFonts w:asciiTheme="minorHAnsi" w:hAnsiTheme="minorHAnsi" w:cstheme="minorHAnsi"/>
        </w:rPr>
        <w:t>John C. The changing role of the pharmacist in the 21</w:t>
      </w:r>
      <w:r w:rsidRPr="00056D15">
        <w:rPr>
          <w:rStyle w:val="publicationcat"/>
          <w:rFonts w:asciiTheme="minorHAnsi" w:hAnsiTheme="minorHAnsi" w:cstheme="minorHAnsi"/>
          <w:vertAlign w:val="superscript"/>
        </w:rPr>
        <w:t>st</w:t>
      </w:r>
      <w:r w:rsidRPr="00056D15">
        <w:rPr>
          <w:rStyle w:val="publicationcat"/>
          <w:rFonts w:asciiTheme="minorHAnsi" w:hAnsiTheme="minorHAnsi" w:cstheme="minorHAnsi"/>
        </w:rPr>
        <w:t xml:space="preserve"> century. </w:t>
      </w:r>
      <w:r w:rsidR="003A06A8" w:rsidRPr="00056D15">
        <w:rPr>
          <w:rFonts w:asciiTheme="minorHAnsi" w:hAnsiTheme="minorHAnsi" w:cstheme="minorHAnsi"/>
        </w:rPr>
        <w:t>Pharm J</w:t>
      </w:r>
      <w:r w:rsidRPr="00056D15">
        <w:rPr>
          <w:rStyle w:val="metadata"/>
          <w:rFonts w:asciiTheme="minorHAnsi" w:hAnsiTheme="minorHAnsi" w:cstheme="minorHAnsi"/>
        </w:rPr>
        <w:t xml:space="preserve"> </w:t>
      </w:r>
      <w:r w:rsidR="003A06A8" w:rsidRPr="00056D15">
        <w:rPr>
          <w:rStyle w:val="metadata"/>
          <w:rFonts w:asciiTheme="minorHAnsi" w:hAnsiTheme="minorHAnsi" w:cstheme="minorHAnsi"/>
        </w:rPr>
        <w:t>2018;300(</w:t>
      </w:r>
      <w:r w:rsidRPr="00056D15">
        <w:rPr>
          <w:rStyle w:val="metadata"/>
          <w:rFonts w:asciiTheme="minorHAnsi" w:hAnsiTheme="minorHAnsi" w:cstheme="minorHAnsi"/>
        </w:rPr>
        <w:t>7909</w:t>
      </w:r>
      <w:r w:rsidR="003A06A8" w:rsidRPr="00056D15">
        <w:rPr>
          <w:rStyle w:val="metadata"/>
          <w:rFonts w:asciiTheme="minorHAnsi" w:hAnsiTheme="minorHAnsi" w:cstheme="minorHAnsi"/>
        </w:rPr>
        <w:t>)</w:t>
      </w:r>
      <w:r w:rsidRPr="00056D15">
        <w:rPr>
          <w:rStyle w:val="metadata"/>
          <w:rFonts w:asciiTheme="minorHAnsi" w:hAnsiTheme="minorHAnsi" w:cstheme="minorHAnsi"/>
        </w:rPr>
        <w:t xml:space="preserve">, online. </w:t>
      </w:r>
      <w:r w:rsidR="003A06A8" w:rsidRPr="00056D15">
        <w:rPr>
          <w:rStyle w:val="articlereference"/>
          <w:rFonts w:asciiTheme="minorHAnsi" w:hAnsiTheme="minorHAnsi" w:cstheme="minorHAnsi"/>
        </w:rPr>
        <w:t xml:space="preserve">Available:  </w:t>
      </w:r>
      <w:hyperlink r:id="rId18" w:history="1">
        <w:r w:rsidR="003A06A8" w:rsidRPr="00056D15">
          <w:rPr>
            <w:rStyle w:val="Hyperlink"/>
            <w:rFonts w:asciiTheme="minorHAnsi" w:hAnsiTheme="minorHAnsi" w:cstheme="minorHAnsi"/>
          </w:rPr>
          <w:t>https://www.pharmaceutical-journal.com/your-rps/the-changing-role-of-the-pharmacist-in-the-21st-century/20204131.article</w:t>
        </w:r>
      </w:hyperlink>
      <w:r w:rsidR="003A06A8" w:rsidRPr="00056D15">
        <w:rPr>
          <w:rStyle w:val="articlereference"/>
          <w:rFonts w:asciiTheme="minorHAnsi" w:hAnsiTheme="minorHAnsi" w:cstheme="minorHAnsi"/>
        </w:rPr>
        <w:t xml:space="preserve"> </w:t>
      </w:r>
      <w:r w:rsidR="00155F44" w:rsidRPr="00056D15">
        <w:rPr>
          <w:rStyle w:val="articlereference"/>
          <w:rFonts w:asciiTheme="minorHAnsi" w:hAnsiTheme="minorHAnsi" w:cstheme="minorHAnsi"/>
        </w:rPr>
        <w:t xml:space="preserve">Accessed </w:t>
      </w:r>
      <w:r w:rsidR="00972798">
        <w:rPr>
          <w:rStyle w:val="articlereference"/>
          <w:rFonts w:asciiTheme="minorHAnsi" w:hAnsiTheme="minorHAnsi" w:cstheme="minorHAnsi"/>
        </w:rPr>
        <w:t>30 August 2021</w:t>
      </w:r>
      <w:r w:rsidR="00155F44" w:rsidRPr="00056D15">
        <w:rPr>
          <w:rStyle w:val="articlereference"/>
          <w:rFonts w:asciiTheme="minorHAnsi" w:hAnsiTheme="minorHAnsi" w:cstheme="minorHAnsi"/>
        </w:rPr>
        <w:t>.</w:t>
      </w:r>
    </w:p>
    <w:p w14:paraId="4D5410A6" w14:textId="50141BF3" w:rsidR="00EB1003" w:rsidRPr="00056D15" w:rsidRDefault="00EB1003" w:rsidP="001E366B">
      <w:pPr>
        <w:pStyle w:val="ListParagraph"/>
        <w:numPr>
          <w:ilvl w:val="0"/>
          <w:numId w:val="6"/>
        </w:numPr>
        <w:spacing w:after="120" w:line="360" w:lineRule="auto"/>
        <w:ind w:left="425" w:hanging="425"/>
        <w:contextualSpacing w:val="0"/>
        <w:rPr>
          <w:rFonts w:asciiTheme="minorHAnsi" w:hAnsiTheme="minorHAnsi" w:cstheme="minorHAnsi"/>
        </w:rPr>
      </w:pPr>
      <w:r w:rsidRPr="00056D15">
        <w:rPr>
          <w:rFonts w:asciiTheme="minorHAnsi" w:eastAsiaTheme="minorEastAsia" w:hAnsiTheme="minorHAnsi" w:cstheme="minorHAnsi"/>
          <w:noProof/>
          <w:lang w:eastAsia="zh-CN"/>
        </w:rPr>
        <w:t>Pedersen CA. The state of the pharmacy workforce. J Am Pharm Assoc</w:t>
      </w:r>
      <w:r w:rsidR="003A06A8" w:rsidRPr="00056D15">
        <w:rPr>
          <w:rFonts w:asciiTheme="minorHAnsi" w:eastAsiaTheme="minorEastAsia" w:hAnsiTheme="minorHAnsi" w:cstheme="minorHAnsi"/>
          <w:noProof/>
          <w:lang w:eastAsia="zh-CN"/>
        </w:rPr>
        <w:t xml:space="preserve"> 2002;</w:t>
      </w:r>
      <w:r w:rsidR="008142AF">
        <w:rPr>
          <w:rFonts w:asciiTheme="minorHAnsi" w:eastAsiaTheme="minorEastAsia" w:hAnsiTheme="minorHAnsi" w:cstheme="minorHAnsi"/>
          <w:noProof/>
          <w:lang w:eastAsia="zh-CN"/>
        </w:rPr>
        <w:t xml:space="preserve"> </w:t>
      </w:r>
      <w:r w:rsidR="003A06A8" w:rsidRPr="00056D15">
        <w:rPr>
          <w:rFonts w:asciiTheme="minorHAnsi" w:eastAsiaTheme="minorEastAsia" w:hAnsiTheme="minorHAnsi" w:cstheme="minorHAnsi"/>
          <w:noProof/>
          <w:lang w:eastAsia="zh-CN"/>
        </w:rPr>
        <w:t>42:</w:t>
      </w:r>
      <w:r w:rsidR="008142AF">
        <w:rPr>
          <w:rFonts w:asciiTheme="minorHAnsi" w:eastAsiaTheme="minorEastAsia" w:hAnsiTheme="minorHAnsi" w:cstheme="minorHAnsi"/>
          <w:noProof/>
          <w:lang w:eastAsia="zh-CN"/>
        </w:rPr>
        <w:t xml:space="preserve"> </w:t>
      </w:r>
      <w:r w:rsidRPr="00056D15">
        <w:rPr>
          <w:rFonts w:asciiTheme="minorHAnsi" w:eastAsiaTheme="minorEastAsia" w:hAnsiTheme="minorHAnsi" w:cstheme="minorHAnsi"/>
          <w:noProof/>
          <w:lang w:eastAsia="zh-CN"/>
        </w:rPr>
        <w:t>822-823.</w:t>
      </w:r>
    </w:p>
    <w:p w14:paraId="6FB27C38" w14:textId="36F66F81" w:rsidR="00EB1003" w:rsidRPr="00056D15" w:rsidRDefault="00EB1003" w:rsidP="001E366B">
      <w:pPr>
        <w:pStyle w:val="ListParagraph"/>
        <w:numPr>
          <w:ilvl w:val="0"/>
          <w:numId w:val="6"/>
        </w:numPr>
        <w:spacing w:after="120" w:line="360" w:lineRule="auto"/>
        <w:ind w:left="426" w:hanging="426"/>
        <w:contextualSpacing w:val="0"/>
        <w:rPr>
          <w:rFonts w:asciiTheme="minorHAnsi" w:hAnsiTheme="minorHAnsi" w:cstheme="minorHAnsi"/>
          <w:lang w:val="en-GB"/>
        </w:rPr>
      </w:pPr>
      <w:r w:rsidRPr="00056D15">
        <w:rPr>
          <w:rFonts w:asciiTheme="minorHAnsi" w:hAnsiTheme="minorHAnsi" w:cstheme="minorHAnsi"/>
          <w:lang w:val="en-GB"/>
        </w:rPr>
        <w:t xml:space="preserve">Keane S, Lincoln M, Smith T. Retention of allied health professionals in rural New South Wales: a thematic analysis of focus group discussions. BMC Health </w:t>
      </w:r>
      <w:proofErr w:type="spellStart"/>
      <w:r w:rsidRPr="00056D15">
        <w:rPr>
          <w:rFonts w:asciiTheme="minorHAnsi" w:hAnsiTheme="minorHAnsi" w:cstheme="minorHAnsi"/>
          <w:lang w:val="en-GB"/>
        </w:rPr>
        <w:t>Serv</w:t>
      </w:r>
      <w:proofErr w:type="spellEnd"/>
      <w:r w:rsidRPr="00056D15">
        <w:rPr>
          <w:rFonts w:asciiTheme="minorHAnsi" w:hAnsiTheme="minorHAnsi" w:cstheme="minorHAnsi"/>
          <w:lang w:val="en-GB"/>
        </w:rPr>
        <w:t xml:space="preserve"> Res</w:t>
      </w:r>
      <w:r w:rsidR="003A06A8" w:rsidRPr="00056D15">
        <w:rPr>
          <w:rFonts w:asciiTheme="minorHAnsi" w:hAnsiTheme="minorHAnsi" w:cstheme="minorHAnsi"/>
          <w:lang w:val="en-GB"/>
        </w:rPr>
        <w:t xml:space="preserve"> 2012;</w:t>
      </w:r>
      <w:r w:rsidR="008142AF">
        <w:rPr>
          <w:rFonts w:asciiTheme="minorHAnsi" w:hAnsiTheme="minorHAnsi" w:cstheme="minorHAnsi"/>
          <w:lang w:val="en-GB"/>
        </w:rPr>
        <w:t xml:space="preserve"> </w:t>
      </w:r>
      <w:r w:rsidR="003A06A8" w:rsidRPr="00056D15">
        <w:rPr>
          <w:rFonts w:asciiTheme="minorHAnsi" w:hAnsiTheme="minorHAnsi" w:cstheme="minorHAnsi"/>
          <w:lang w:val="en-GB"/>
        </w:rPr>
        <w:t>12:</w:t>
      </w:r>
      <w:r w:rsidR="008142AF">
        <w:rPr>
          <w:rFonts w:asciiTheme="minorHAnsi" w:hAnsiTheme="minorHAnsi" w:cstheme="minorHAnsi"/>
          <w:lang w:val="en-GB"/>
        </w:rPr>
        <w:t xml:space="preserve"> </w:t>
      </w:r>
      <w:r w:rsidRPr="00056D15">
        <w:rPr>
          <w:rFonts w:asciiTheme="minorHAnsi" w:hAnsiTheme="minorHAnsi" w:cstheme="minorHAnsi"/>
          <w:lang w:val="en-GB"/>
        </w:rPr>
        <w:t xml:space="preserve">175. Available at: </w:t>
      </w:r>
      <w:hyperlink r:id="rId19" w:history="1">
        <w:r w:rsidRPr="00056D15">
          <w:rPr>
            <w:rFonts w:asciiTheme="minorHAnsi" w:hAnsiTheme="minorHAnsi" w:cstheme="minorHAnsi"/>
            <w:color w:val="0F6799"/>
            <w:u w:val="single"/>
            <w:lang w:val="en-GB"/>
          </w:rPr>
          <w:t>http://www.biomedcentral.com/1472-6963/12/175</w:t>
        </w:r>
      </w:hyperlink>
    </w:p>
    <w:p w14:paraId="630EEBD0" w14:textId="77777777" w:rsidR="00EB1003" w:rsidRPr="00056D15" w:rsidRDefault="00EB1003" w:rsidP="001E366B">
      <w:pPr>
        <w:pStyle w:val="ListParagraph"/>
        <w:numPr>
          <w:ilvl w:val="0"/>
          <w:numId w:val="6"/>
        </w:numPr>
        <w:spacing w:after="120" w:line="360" w:lineRule="auto"/>
        <w:ind w:left="425" w:hanging="425"/>
        <w:contextualSpacing w:val="0"/>
        <w:rPr>
          <w:rFonts w:asciiTheme="minorHAnsi" w:hAnsiTheme="minorHAnsi" w:cstheme="minorHAnsi"/>
        </w:rPr>
      </w:pPr>
      <w:r w:rsidRPr="00056D15">
        <w:rPr>
          <w:rFonts w:asciiTheme="minorHAnsi" w:hAnsiTheme="minorHAnsi" w:cstheme="minorHAnsi"/>
        </w:rPr>
        <w:t>Keane S, Smith T, Lincoln M, Fisher K. Survey of the rural allied health workforce in New South Wales to inform recruitment and retention. Aust J Rural Health 2011; 19: 38-44.</w:t>
      </w:r>
    </w:p>
    <w:p w14:paraId="7DF34CE7" w14:textId="76C52AFB" w:rsidR="00EB1003" w:rsidRPr="00056D15" w:rsidRDefault="00EB1003" w:rsidP="001E366B">
      <w:pPr>
        <w:pStyle w:val="ListParagraph"/>
        <w:numPr>
          <w:ilvl w:val="0"/>
          <w:numId w:val="6"/>
        </w:numPr>
        <w:spacing w:after="120" w:line="360" w:lineRule="auto"/>
        <w:ind w:left="426" w:hanging="426"/>
        <w:contextualSpacing w:val="0"/>
        <w:rPr>
          <w:rFonts w:asciiTheme="minorHAnsi" w:eastAsiaTheme="minorEastAsia" w:hAnsiTheme="minorHAnsi" w:cstheme="minorHAnsi"/>
          <w:noProof/>
          <w:lang w:eastAsia="zh-CN"/>
        </w:rPr>
      </w:pPr>
      <w:r w:rsidRPr="00056D15">
        <w:rPr>
          <w:rFonts w:asciiTheme="minorHAnsi" w:eastAsiaTheme="minorEastAsia" w:hAnsiTheme="minorHAnsi" w:cstheme="minorHAnsi"/>
          <w:noProof/>
          <w:lang w:eastAsia="zh-CN"/>
        </w:rPr>
        <w:t>Curran V, Fleet L, Kirby F. Factors influencing rural health care professionals’ access to continuing professional eucation. Aust J Rural Health 2006; 14(2): 51-55.</w:t>
      </w:r>
    </w:p>
    <w:p w14:paraId="58DC0C21" w14:textId="77777777" w:rsidR="00EB1003" w:rsidRPr="00056D15" w:rsidRDefault="00EB1003" w:rsidP="001E366B">
      <w:pPr>
        <w:pStyle w:val="ListParagraph"/>
        <w:numPr>
          <w:ilvl w:val="0"/>
          <w:numId w:val="6"/>
        </w:numPr>
        <w:spacing w:after="120" w:line="360" w:lineRule="auto"/>
        <w:ind w:left="426" w:hanging="426"/>
        <w:contextualSpacing w:val="0"/>
        <w:rPr>
          <w:rFonts w:asciiTheme="minorHAnsi" w:hAnsiTheme="minorHAnsi" w:cstheme="minorHAnsi"/>
          <w:lang w:val="en-GB"/>
        </w:rPr>
      </w:pPr>
      <w:r w:rsidRPr="00056D15">
        <w:rPr>
          <w:rFonts w:asciiTheme="minorHAnsi" w:hAnsiTheme="minorHAnsi" w:cstheme="minorHAnsi"/>
          <w:lang w:val="en-GB"/>
        </w:rPr>
        <w:t>Li SC. Pharmacy education in Australia with a special focus on clinical pharmacy education. Journal of Asian Association of Schools of Pharmacy 2019; 8: 1-6.</w:t>
      </w:r>
    </w:p>
    <w:p w14:paraId="3B9836EC" w14:textId="12DEA904" w:rsidR="00EB1003" w:rsidRPr="00972798" w:rsidRDefault="00EB1003" w:rsidP="00972798">
      <w:pPr>
        <w:pStyle w:val="ListParagraph"/>
        <w:numPr>
          <w:ilvl w:val="0"/>
          <w:numId w:val="6"/>
        </w:numPr>
        <w:spacing w:after="120" w:line="360" w:lineRule="auto"/>
        <w:ind w:left="426" w:hanging="426"/>
        <w:contextualSpacing w:val="0"/>
        <w:rPr>
          <w:rFonts w:asciiTheme="minorHAnsi" w:hAnsiTheme="minorHAnsi" w:cstheme="minorHAnsi"/>
          <w:lang w:val="en-GB"/>
        </w:rPr>
      </w:pPr>
      <w:r w:rsidRPr="00972798">
        <w:rPr>
          <w:rFonts w:asciiTheme="minorHAnsi" w:hAnsiTheme="minorHAnsi" w:cstheme="minorHAnsi"/>
          <w:lang w:val="en-GB"/>
        </w:rPr>
        <w:lastRenderedPageBreak/>
        <w:t>Good Education Group. The Good Universities Guide 2020. Good Education Group. Melbourne. 2019.</w:t>
      </w:r>
      <w:r w:rsidR="00155F44" w:rsidRPr="00972798">
        <w:rPr>
          <w:rFonts w:asciiTheme="minorHAnsi" w:hAnsiTheme="minorHAnsi" w:cstheme="minorHAnsi"/>
          <w:lang w:val="en-GB"/>
        </w:rPr>
        <w:t xml:space="preserve"> Available: </w:t>
      </w:r>
      <w:hyperlink r:id="rId20" w:history="1">
        <w:r w:rsidR="00972798" w:rsidRPr="00972798">
          <w:rPr>
            <w:rStyle w:val="Hyperlink"/>
            <w:rFonts w:asciiTheme="minorHAnsi" w:hAnsiTheme="minorHAnsi" w:cstheme="minorHAnsi"/>
          </w:rPr>
          <w:t>https://www.gooduniversitiesguide.com.au/the-good-universities-eguide</w:t>
        </w:r>
      </w:hyperlink>
      <w:r w:rsidR="00155F44" w:rsidRPr="00972798">
        <w:rPr>
          <w:rFonts w:asciiTheme="minorHAnsi" w:hAnsiTheme="minorHAnsi" w:cstheme="minorHAnsi"/>
          <w:lang w:val="en-GB"/>
        </w:rPr>
        <w:t xml:space="preserve"> Accessed </w:t>
      </w:r>
      <w:r w:rsidR="00972798" w:rsidRPr="00972798">
        <w:rPr>
          <w:rFonts w:asciiTheme="minorHAnsi" w:hAnsiTheme="minorHAnsi" w:cstheme="minorHAnsi"/>
          <w:lang w:val="en-GB"/>
        </w:rPr>
        <w:t>30 August 2021</w:t>
      </w:r>
      <w:r w:rsidR="00155F44" w:rsidRPr="00972798">
        <w:rPr>
          <w:rFonts w:asciiTheme="minorHAnsi" w:hAnsiTheme="minorHAnsi" w:cstheme="minorHAnsi"/>
          <w:lang w:val="en-GB"/>
        </w:rPr>
        <w:t>.</w:t>
      </w:r>
    </w:p>
    <w:p w14:paraId="544DCEDB" w14:textId="655A3D32" w:rsidR="00EB1003" w:rsidRPr="00056D15" w:rsidRDefault="00EB1003" w:rsidP="001E366B">
      <w:pPr>
        <w:pStyle w:val="ListParagraph"/>
        <w:numPr>
          <w:ilvl w:val="0"/>
          <w:numId w:val="6"/>
        </w:numPr>
        <w:spacing w:after="120" w:line="360" w:lineRule="auto"/>
        <w:ind w:left="425" w:hanging="425"/>
        <w:contextualSpacing w:val="0"/>
        <w:rPr>
          <w:rFonts w:asciiTheme="minorHAnsi" w:hAnsiTheme="minorHAnsi" w:cstheme="minorHAnsi"/>
        </w:rPr>
      </w:pPr>
      <w:r w:rsidRPr="00056D15">
        <w:rPr>
          <w:rFonts w:asciiTheme="minorHAnsi" w:eastAsiaTheme="minorEastAsia" w:hAnsiTheme="minorHAnsi" w:cstheme="minorHAnsi"/>
          <w:noProof/>
          <w:lang w:eastAsia="zh-CN"/>
        </w:rPr>
        <w:t xml:space="preserve">Pharmacy Board of Australia. Registration Standard: Supervised Practice Arrangements. 1 December, 2015. Available: </w:t>
      </w:r>
      <w:hyperlink r:id="rId21" w:history="1">
        <w:r w:rsidRPr="00056D15">
          <w:rPr>
            <w:rStyle w:val="Hyperlink"/>
            <w:rFonts w:asciiTheme="minorHAnsi" w:eastAsiaTheme="minorEastAsia" w:hAnsiTheme="minorHAnsi" w:cstheme="minorHAnsi"/>
            <w:noProof/>
            <w:lang w:eastAsia="zh-CN"/>
          </w:rPr>
          <w:t>https://www.pharmacyboard.gov.au/Registration-Standards.aspx</w:t>
        </w:r>
      </w:hyperlink>
      <w:r w:rsidR="00155F44" w:rsidRPr="00056D15">
        <w:rPr>
          <w:rFonts w:asciiTheme="minorHAnsi" w:eastAsiaTheme="minorEastAsia" w:hAnsiTheme="minorHAnsi" w:cstheme="minorHAnsi"/>
          <w:noProof/>
          <w:lang w:eastAsia="zh-CN"/>
        </w:rPr>
        <w:t xml:space="preserve"> Accessed </w:t>
      </w:r>
      <w:r w:rsidR="00C8314B">
        <w:rPr>
          <w:rFonts w:asciiTheme="minorHAnsi" w:eastAsiaTheme="minorEastAsia" w:hAnsiTheme="minorHAnsi" w:cstheme="minorHAnsi"/>
          <w:noProof/>
          <w:lang w:eastAsia="zh-CN"/>
        </w:rPr>
        <w:t>30 August 2021</w:t>
      </w:r>
      <w:r w:rsidR="00155F44" w:rsidRPr="00056D15">
        <w:rPr>
          <w:rFonts w:asciiTheme="minorHAnsi" w:eastAsiaTheme="minorEastAsia" w:hAnsiTheme="minorHAnsi" w:cstheme="minorHAnsi"/>
          <w:noProof/>
          <w:lang w:eastAsia="zh-CN"/>
        </w:rPr>
        <w:t>.</w:t>
      </w:r>
    </w:p>
    <w:p w14:paraId="11BCCE1D" w14:textId="39582B60" w:rsidR="00EB1003" w:rsidRPr="00056D15" w:rsidRDefault="00EB1003" w:rsidP="001E366B">
      <w:pPr>
        <w:pStyle w:val="ListParagraph"/>
        <w:numPr>
          <w:ilvl w:val="0"/>
          <w:numId w:val="6"/>
        </w:numPr>
        <w:spacing w:after="120" w:line="360" w:lineRule="auto"/>
        <w:ind w:left="426" w:hanging="426"/>
        <w:contextualSpacing w:val="0"/>
        <w:rPr>
          <w:rFonts w:asciiTheme="minorHAnsi" w:hAnsiTheme="minorHAnsi" w:cstheme="minorHAnsi"/>
        </w:rPr>
      </w:pPr>
      <w:r w:rsidRPr="00056D15">
        <w:rPr>
          <w:rFonts w:asciiTheme="minorHAnsi" w:hAnsiTheme="minorHAnsi" w:cstheme="minorHAnsi"/>
        </w:rPr>
        <w:t xml:space="preserve">Pharmacy Programs Administrator. Rural Pharmacy Liaison Officer (RPLO) Program. 2018. Available: </w:t>
      </w:r>
      <w:hyperlink r:id="rId22" w:history="1">
        <w:r w:rsidRPr="00056D15">
          <w:rPr>
            <w:rStyle w:val="Hyperlink"/>
            <w:rFonts w:asciiTheme="minorHAnsi" w:hAnsiTheme="minorHAnsi" w:cstheme="minorHAnsi"/>
          </w:rPr>
          <w:t>https://www.ppaonline.com.au/programs/rural-support-programs/rural-pharmacy-liaison-officer-program</w:t>
        </w:r>
      </w:hyperlink>
      <w:r w:rsidRPr="00056D15">
        <w:rPr>
          <w:rFonts w:asciiTheme="minorHAnsi" w:hAnsiTheme="minorHAnsi" w:cstheme="minorHAnsi"/>
        </w:rPr>
        <w:t xml:space="preserve"> Accessed </w:t>
      </w:r>
      <w:r w:rsidR="00C8314B">
        <w:rPr>
          <w:rFonts w:asciiTheme="minorHAnsi" w:hAnsiTheme="minorHAnsi" w:cstheme="minorHAnsi"/>
        </w:rPr>
        <w:t>30 August 2021</w:t>
      </w:r>
      <w:r w:rsidR="00155F44" w:rsidRPr="00056D15">
        <w:rPr>
          <w:rFonts w:asciiTheme="minorHAnsi" w:hAnsiTheme="minorHAnsi" w:cstheme="minorHAnsi"/>
        </w:rPr>
        <w:t>.</w:t>
      </w:r>
    </w:p>
    <w:p w14:paraId="257702F1" w14:textId="5AA76D2B" w:rsidR="00EB1003" w:rsidRPr="00056D15" w:rsidRDefault="00EB1003" w:rsidP="001E366B">
      <w:pPr>
        <w:pStyle w:val="ListParagraph"/>
        <w:numPr>
          <w:ilvl w:val="0"/>
          <w:numId w:val="6"/>
        </w:numPr>
        <w:spacing w:after="120" w:line="360" w:lineRule="auto"/>
        <w:ind w:left="426" w:hanging="426"/>
        <w:contextualSpacing w:val="0"/>
        <w:rPr>
          <w:rFonts w:asciiTheme="minorHAnsi" w:hAnsiTheme="minorHAnsi" w:cstheme="minorHAnsi"/>
        </w:rPr>
      </w:pPr>
      <w:r w:rsidRPr="00056D15">
        <w:rPr>
          <w:rFonts w:asciiTheme="minorHAnsi" w:eastAsiaTheme="minorEastAsia" w:hAnsiTheme="minorHAnsi" w:cstheme="minorHAnsi"/>
          <w:noProof/>
          <w:lang w:eastAsia="zh-CN"/>
        </w:rPr>
        <w:t xml:space="preserve">Australian Government Department of Health. Rural Health Multidisciplinary Training (RHMT) Program 2019-2020 – Framework. Canberra: Department of Health. 2020. Available: </w:t>
      </w:r>
      <w:hyperlink r:id="rId23" w:history="1">
        <w:r w:rsidRPr="00056D15">
          <w:rPr>
            <w:rStyle w:val="Hyperlink"/>
            <w:rFonts w:asciiTheme="minorHAnsi" w:eastAsiaTheme="minorEastAsia" w:hAnsiTheme="minorHAnsi" w:cstheme="minorHAnsi"/>
            <w:noProof/>
            <w:lang w:eastAsia="zh-CN"/>
          </w:rPr>
          <w:t>https://www1.health.gov.au/internet/main/publishing.nsf/Content/rural-health-multidisciplinary-training</w:t>
        </w:r>
      </w:hyperlink>
      <w:r w:rsidRPr="00056D15">
        <w:rPr>
          <w:rFonts w:asciiTheme="minorHAnsi" w:eastAsiaTheme="minorEastAsia" w:hAnsiTheme="minorHAnsi" w:cstheme="minorHAnsi"/>
          <w:noProof/>
          <w:lang w:eastAsia="zh-CN"/>
        </w:rPr>
        <w:t xml:space="preserve"> Accessed </w:t>
      </w:r>
      <w:r w:rsidR="00C8314B">
        <w:rPr>
          <w:rFonts w:asciiTheme="minorHAnsi" w:eastAsiaTheme="minorEastAsia" w:hAnsiTheme="minorHAnsi" w:cstheme="minorHAnsi"/>
          <w:noProof/>
          <w:lang w:eastAsia="zh-CN"/>
        </w:rPr>
        <w:t>30 August 2021</w:t>
      </w:r>
      <w:r w:rsidRPr="00056D15">
        <w:rPr>
          <w:rFonts w:asciiTheme="minorHAnsi" w:eastAsiaTheme="minorEastAsia" w:hAnsiTheme="minorHAnsi" w:cstheme="minorHAnsi"/>
          <w:noProof/>
          <w:lang w:eastAsia="zh-CN"/>
        </w:rPr>
        <w:t>.</w:t>
      </w:r>
    </w:p>
    <w:p w14:paraId="071BBCC5" w14:textId="6FA87BE1" w:rsidR="006F236F" w:rsidRPr="00056D15" w:rsidRDefault="006F236F" w:rsidP="001E366B">
      <w:pPr>
        <w:pStyle w:val="ListParagraph"/>
        <w:numPr>
          <w:ilvl w:val="0"/>
          <w:numId w:val="6"/>
        </w:numPr>
        <w:spacing w:after="120" w:line="360" w:lineRule="auto"/>
        <w:ind w:left="425" w:hanging="425"/>
        <w:contextualSpacing w:val="0"/>
        <w:rPr>
          <w:rFonts w:asciiTheme="minorHAnsi" w:hAnsiTheme="minorHAnsi" w:cstheme="minorHAnsi"/>
        </w:rPr>
      </w:pPr>
      <w:r w:rsidRPr="00056D15">
        <w:rPr>
          <w:rFonts w:asciiTheme="minorHAnsi" w:eastAsiaTheme="minorEastAsia" w:hAnsiTheme="minorHAnsi" w:cstheme="minorHAnsi"/>
          <w:noProof/>
          <w:lang w:eastAsia="zh-CN"/>
        </w:rPr>
        <w:t xml:space="preserve">Australian Government Department of Health. National Health Worforce Dataset: Pharmacists 2013-2014. Available online: </w:t>
      </w:r>
      <w:hyperlink r:id="rId24" w:history="1">
        <w:r w:rsidRPr="00056D15">
          <w:rPr>
            <w:rStyle w:val="Hyperlink"/>
            <w:rFonts w:asciiTheme="minorHAnsi" w:eastAsiaTheme="minorEastAsia" w:hAnsiTheme="minorHAnsi" w:cstheme="minorHAnsi"/>
            <w:noProof/>
            <w:lang w:eastAsia="zh-CN"/>
          </w:rPr>
          <w:t>https://www1.health.gov.au/internet/main/publishing.nsf/Content/health_workforce_data</w:t>
        </w:r>
      </w:hyperlink>
      <w:r w:rsidRPr="00056D15">
        <w:rPr>
          <w:rFonts w:asciiTheme="minorHAnsi" w:eastAsiaTheme="minorEastAsia" w:hAnsiTheme="minorHAnsi" w:cstheme="minorHAnsi"/>
          <w:noProof/>
          <w:lang w:eastAsia="zh-CN"/>
        </w:rPr>
        <w:t xml:space="preserve"> Last updated: 21 January 2017. Accessed </w:t>
      </w:r>
      <w:r w:rsidR="00C8314B">
        <w:rPr>
          <w:rFonts w:asciiTheme="minorHAnsi" w:eastAsiaTheme="minorEastAsia" w:hAnsiTheme="minorHAnsi" w:cstheme="minorHAnsi"/>
          <w:noProof/>
          <w:lang w:eastAsia="zh-CN"/>
        </w:rPr>
        <w:t>30 August 2021</w:t>
      </w:r>
      <w:r w:rsidRPr="00056D15">
        <w:rPr>
          <w:rFonts w:asciiTheme="minorHAnsi" w:eastAsiaTheme="minorEastAsia" w:hAnsiTheme="minorHAnsi" w:cstheme="minorHAnsi"/>
          <w:noProof/>
          <w:lang w:eastAsia="zh-CN"/>
        </w:rPr>
        <w:t>.</w:t>
      </w:r>
    </w:p>
    <w:p w14:paraId="03390626" w14:textId="287DBE5B" w:rsidR="00644F9B" w:rsidRPr="00056D15" w:rsidRDefault="00C8314B" w:rsidP="00C8314B">
      <w:pPr>
        <w:pStyle w:val="ListParagraph"/>
        <w:numPr>
          <w:ilvl w:val="0"/>
          <w:numId w:val="6"/>
        </w:numPr>
        <w:spacing w:after="120" w:line="360" w:lineRule="auto"/>
        <w:ind w:left="426" w:hanging="426"/>
        <w:contextualSpacing w:val="0"/>
        <w:rPr>
          <w:rFonts w:asciiTheme="minorHAnsi" w:hAnsiTheme="minorHAnsi" w:cstheme="minorHAnsi"/>
        </w:rPr>
      </w:pPr>
      <w:r>
        <w:rPr>
          <w:rFonts w:asciiTheme="minorHAnsi" w:hAnsiTheme="minorHAnsi" w:cstheme="minorHAnsi"/>
        </w:rPr>
        <w:t xml:space="preserve">Paola S. ‘Unfair’ </w:t>
      </w:r>
      <w:proofErr w:type="spellStart"/>
      <w:r>
        <w:rPr>
          <w:rFonts w:asciiTheme="minorHAnsi" w:hAnsiTheme="minorHAnsi" w:cstheme="minorHAnsi"/>
        </w:rPr>
        <w:t>PhARIA</w:t>
      </w:r>
      <w:proofErr w:type="spellEnd"/>
      <w:r>
        <w:rPr>
          <w:rFonts w:asciiTheme="minorHAnsi" w:hAnsiTheme="minorHAnsi" w:cstheme="minorHAnsi"/>
        </w:rPr>
        <w:t xml:space="preserve"> system set to be scrapped. Australian Journal of Pharmacy; 16 June 2020. </w:t>
      </w:r>
      <w:r w:rsidR="00644F9B" w:rsidRPr="00056D15">
        <w:rPr>
          <w:rFonts w:asciiTheme="minorHAnsi" w:hAnsiTheme="minorHAnsi" w:cstheme="minorHAnsi"/>
        </w:rPr>
        <w:t xml:space="preserve">Available: </w:t>
      </w:r>
      <w:hyperlink r:id="rId25" w:history="1">
        <w:r w:rsidRPr="00C8314B">
          <w:rPr>
            <w:rStyle w:val="Hyperlink"/>
            <w:rFonts w:asciiTheme="minorHAnsi" w:hAnsiTheme="minorHAnsi" w:cstheme="minorHAnsi"/>
          </w:rPr>
          <w:t>https://ajp.com.au/news/unfair-pharia-system-set-to-be-scrapped/</w:t>
        </w:r>
      </w:hyperlink>
      <w:r w:rsidRPr="00C8314B">
        <w:rPr>
          <w:rFonts w:asciiTheme="minorHAnsi" w:hAnsiTheme="minorHAnsi" w:cstheme="minorHAnsi"/>
        </w:rPr>
        <w:t xml:space="preserve"> </w:t>
      </w:r>
      <w:r w:rsidR="00644F9B" w:rsidRPr="00056D15">
        <w:rPr>
          <w:rFonts w:asciiTheme="minorHAnsi" w:hAnsiTheme="minorHAnsi" w:cstheme="minorHAnsi"/>
        </w:rPr>
        <w:t xml:space="preserve">Accessed </w:t>
      </w:r>
      <w:r>
        <w:rPr>
          <w:rFonts w:asciiTheme="minorHAnsi" w:hAnsiTheme="minorHAnsi" w:cstheme="minorHAnsi"/>
        </w:rPr>
        <w:t>30 August 2021</w:t>
      </w:r>
      <w:r w:rsidR="00644F9B" w:rsidRPr="00056D15">
        <w:rPr>
          <w:rFonts w:asciiTheme="minorHAnsi" w:hAnsiTheme="minorHAnsi" w:cstheme="minorHAnsi"/>
        </w:rPr>
        <w:t>.</w:t>
      </w:r>
    </w:p>
    <w:p w14:paraId="7D830C8E" w14:textId="7BE98F58" w:rsidR="00D648F4" w:rsidRPr="00056D15" w:rsidRDefault="00D648F4" w:rsidP="001E366B">
      <w:pPr>
        <w:pStyle w:val="ListParagraph"/>
        <w:numPr>
          <w:ilvl w:val="0"/>
          <w:numId w:val="6"/>
        </w:numPr>
        <w:spacing w:after="120" w:line="360" w:lineRule="auto"/>
        <w:ind w:left="425" w:hanging="425"/>
        <w:contextualSpacing w:val="0"/>
        <w:rPr>
          <w:rFonts w:asciiTheme="minorHAnsi" w:hAnsiTheme="minorHAnsi" w:cstheme="minorHAnsi"/>
        </w:rPr>
      </w:pPr>
      <w:r w:rsidRPr="00056D15">
        <w:rPr>
          <w:rFonts w:asciiTheme="minorHAnsi" w:hAnsiTheme="minorHAnsi" w:cstheme="minorHAnsi"/>
        </w:rPr>
        <w:t xml:space="preserve">Australian Government Department of Health. Modified Monash Model. Last updated 9 January 2020. Available: </w:t>
      </w:r>
      <w:hyperlink r:id="rId26" w:history="1">
        <w:r w:rsidRPr="00056D15">
          <w:rPr>
            <w:rStyle w:val="Hyperlink"/>
            <w:rFonts w:asciiTheme="minorHAnsi" w:hAnsiTheme="minorHAnsi" w:cstheme="minorHAnsi"/>
          </w:rPr>
          <w:t>https://www.health.gov.au/health-workforce/health-workforce-classifications/modified-monash-model</w:t>
        </w:r>
      </w:hyperlink>
      <w:r w:rsidRPr="00056D15">
        <w:rPr>
          <w:rFonts w:asciiTheme="minorHAnsi" w:hAnsiTheme="minorHAnsi" w:cstheme="minorHAnsi"/>
        </w:rPr>
        <w:t xml:space="preserve"> Accessed </w:t>
      </w:r>
      <w:r w:rsidR="00997985">
        <w:rPr>
          <w:rFonts w:asciiTheme="minorHAnsi" w:hAnsiTheme="minorHAnsi" w:cstheme="minorHAnsi"/>
        </w:rPr>
        <w:t>30 August 2021</w:t>
      </w:r>
      <w:r w:rsidRPr="00056D15">
        <w:rPr>
          <w:rFonts w:asciiTheme="minorHAnsi" w:hAnsiTheme="minorHAnsi" w:cstheme="minorHAnsi"/>
        </w:rPr>
        <w:t>.</w:t>
      </w:r>
    </w:p>
    <w:p w14:paraId="61AD55DC" w14:textId="4FD14117" w:rsidR="001A6086" w:rsidRPr="00056D15" w:rsidRDefault="00EB1003" w:rsidP="001E366B">
      <w:pPr>
        <w:pStyle w:val="ListParagraph"/>
        <w:numPr>
          <w:ilvl w:val="0"/>
          <w:numId w:val="6"/>
        </w:numPr>
        <w:spacing w:after="120" w:line="360" w:lineRule="auto"/>
        <w:ind w:left="425" w:hanging="425"/>
        <w:contextualSpacing w:val="0"/>
        <w:rPr>
          <w:rFonts w:asciiTheme="minorHAnsi" w:eastAsiaTheme="minorEastAsia" w:hAnsiTheme="minorHAnsi" w:cstheme="minorHAnsi"/>
          <w:noProof/>
          <w:lang w:eastAsia="zh-CN"/>
        </w:rPr>
      </w:pPr>
      <w:r w:rsidRPr="00056D15">
        <w:rPr>
          <w:rFonts w:asciiTheme="minorHAnsi" w:hAnsiTheme="minorHAnsi" w:cstheme="minorHAnsi"/>
        </w:rPr>
        <w:t>Smith T, Cooper R, Brown L, Hemmings R, Greaves J. Profile of the rural allied health workforce in Northern New South Wales and comparison with previous studies. Aust J Rural Health</w:t>
      </w:r>
      <w:r w:rsidR="00155F44" w:rsidRPr="00056D15">
        <w:rPr>
          <w:rFonts w:asciiTheme="minorHAnsi" w:hAnsiTheme="minorHAnsi" w:cstheme="minorHAnsi"/>
        </w:rPr>
        <w:t xml:space="preserve"> 2008;</w:t>
      </w:r>
      <w:r w:rsidR="008142AF">
        <w:rPr>
          <w:rFonts w:asciiTheme="minorHAnsi" w:hAnsiTheme="minorHAnsi" w:cstheme="minorHAnsi"/>
        </w:rPr>
        <w:t xml:space="preserve"> </w:t>
      </w:r>
      <w:r w:rsidR="00155F44" w:rsidRPr="00056D15">
        <w:rPr>
          <w:rFonts w:asciiTheme="minorHAnsi" w:hAnsiTheme="minorHAnsi" w:cstheme="minorHAnsi"/>
        </w:rPr>
        <w:t>16:</w:t>
      </w:r>
      <w:r w:rsidR="008142AF">
        <w:rPr>
          <w:rFonts w:asciiTheme="minorHAnsi" w:hAnsiTheme="minorHAnsi" w:cstheme="minorHAnsi"/>
        </w:rPr>
        <w:t xml:space="preserve"> </w:t>
      </w:r>
      <w:r w:rsidRPr="00056D15">
        <w:rPr>
          <w:rFonts w:asciiTheme="minorHAnsi" w:hAnsiTheme="minorHAnsi" w:cstheme="minorHAnsi"/>
        </w:rPr>
        <w:t>156-163.</w:t>
      </w:r>
    </w:p>
    <w:p w14:paraId="0F717322" w14:textId="724EA886" w:rsidR="00F46BEC" w:rsidRPr="00056D15" w:rsidRDefault="00F46BEC" w:rsidP="001E366B">
      <w:pPr>
        <w:pStyle w:val="ListParagraph"/>
        <w:numPr>
          <w:ilvl w:val="0"/>
          <w:numId w:val="6"/>
        </w:numPr>
        <w:spacing w:after="120" w:line="360" w:lineRule="auto"/>
        <w:ind w:left="425" w:hanging="425"/>
        <w:contextualSpacing w:val="0"/>
        <w:rPr>
          <w:rFonts w:asciiTheme="minorHAnsi" w:eastAsiaTheme="minorEastAsia" w:hAnsiTheme="minorHAnsi" w:cstheme="minorHAnsi"/>
          <w:noProof/>
          <w:lang w:eastAsia="zh-CN"/>
        </w:rPr>
      </w:pPr>
      <w:r w:rsidRPr="00056D15">
        <w:rPr>
          <w:rFonts w:asciiTheme="minorHAnsi" w:hAnsiTheme="minorHAnsi" w:cstheme="minorHAnsi"/>
        </w:rPr>
        <w:t>Smith T, Fisher K, Keane S, Lincoln M. Comparison of the results of two rural allied health workforce surveys in the Hunter New England region of New South Wales: 2</w:t>
      </w:r>
      <w:r w:rsidR="00155F44" w:rsidRPr="00056D15">
        <w:rPr>
          <w:rFonts w:asciiTheme="minorHAnsi" w:hAnsiTheme="minorHAnsi" w:cstheme="minorHAnsi"/>
        </w:rPr>
        <w:t>005 versus 2008.</w:t>
      </w:r>
      <w:r w:rsidRPr="00056D15">
        <w:rPr>
          <w:rFonts w:asciiTheme="minorHAnsi" w:hAnsiTheme="minorHAnsi" w:cstheme="minorHAnsi"/>
        </w:rPr>
        <w:t xml:space="preserve"> Aust J Rural Health 2011;</w:t>
      </w:r>
      <w:r w:rsidR="008142AF">
        <w:rPr>
          <w:rFonts w:asciiTheme="minorHAnsi" w:hAnsiTheme="minorHAnsi" w:cstheme="minorHAnsi"/>
        </w:rPr>
        <w:t xml:space="preserve"> </w:t>
      </w:r>
      <w:r w:rsidRPr="00056D15">
        <w:rPr>
          <w:rFonts w:asciiTheme="minorHAnsi" w:hAnsiTheme="minorHAnsi" w:cstheme="minorHAnsi"/>
        </w:rPr>
        <w:t>19:</w:t>
      </w:r>
      <w:r w:rsidR="008142AF">
        <w:rPr>
          <w:rFonts w:asciiTheme="minorHAnsi" w:hAnsiTheme="minorHAnsi" w:cstheme="minorHAnsi"/>
        </w:rPr>
        <w:t xml:space="preserve"> </w:t>
      </w:r>
      <w:r w:rsidRPr="00056D15">
        <w:rPr>
          <w:rFonts w:asciiTheme="minorHAnsi" w:hAnsiTheme="minorHAnsi" w:cstheme="minorHAnsi"/>
        </w:rPr>
        <w:t>154-159.</w:t>
      </w:r>
    </w:p>
    <w:p w14:paraId="557FC35B" w14:textId="24587F6D" w:rsidR="00F46BEC" w:rsidRPr="00056D15" w:rsidRDefault="00EB1003" w:rsidP="001E366B">
      <w:pPr>
        <w:pStyle w:val="ListParagraph"/>
        <w:numPr>
          <w:ilvl w:val="0"/>
          <w:numId w:val="6"/>
        </w:numPr>
        <w:spacing w:after="120" w:line="360" w:lineRule="auto"/>
        <w:ind w:left="425" w:hanging="425"/>
        <w:contextualSpacing w:val="0"/>
        <w:rPr>
          <w:rFonts w:asciiTheme="minorHAnsi" w:hAnsiTheme="minorHAnsi" w:cstheme="minorHAnsi"/>
        </w:rPr>
      </w:pPr>
      <w:r w:rsidRPr="00056D15">
        <w:rPr>
          <w:rFonts w:asciiTheme="minorHAnsi" w:hAnsiTheme="minorHAnsi" w:cstheme="minorHAnsi"/>
        </w:rPr>
        <w:lastRenderedPageBreak/>
        <w:t xml:space="preserve">Smith JD, White C, </w:t>
      </w:r>
      <w:proofErr w:type="spellStart"/>
      <w:r w:rsidRPr="00056D15">
        <w:rPr>
          <w:rFonts w:asciiTheme="minorHAnsi" w:hAnsiTheme="minorHAnsi" w:cstheme="minorHAnsi"/>
        </w:rPr>
        <w:t>Roufeil</w:t>
      </w:r>
      <w:proofErr w:type="spellEnd"/>
      <w:r w:rsidRPr="00056D15">
        <w:rPr>
          <w:rFonts w:asciiTheme="minorHAnsi" w:hAnsiTheme="minorHAnsi" w:cstheme="minorHAnsi"/>
        </w:rPr>
        <w:t xml:space="preserve"> L, Veitch C, Pont L, Patel B, </w:t>
      </w:r>
      <w:r w:rsidR="00056D15">
        <w:rPr>
          <w:rFonts w:asciiTheme="minorHAnsi" w:hAnsiTheme="minorHAnsi" w:cstheme="minorHAnsi"/>
        </w:rPr>
        <w:t>et al</w:t>
      </w:r>
      <w:r w:rsidRPr="00056D15">
        <w:rPr>
          <w:rFonts w:asciiTheme="minorHAnsi" w:hAnsiTheme="minorHAnsi" w:cstheme="minorHAnsi"/>
        </w:rPr>
        <w:t>. A national study into the rural and remote pharmacist workforce. Rural Remote Health</w:t>
      </w:r>
      <w:r w:rsidR="00155F44" w:rsidRPr="00056D15">
        <w:rPr>
          <w:rFonts w:asciiTheme="minorHAnsi" w:hAnsiTheme="minorHAnsi" w:cstheme="minorHAnsi"/>
        </w:rPr>
        <w:t xml:space="preserve"> 2013;</w:t>
      </w:r>
      <w:r w:rsidR="008142AF">
        <w:rPr>
          <w:rFonts w:asciiTheme="minorHAnsi" w:hAnsiTheme="minorHAnsi" w:cstheme="minorHAnsi"/>
        </w:rPr>
        <w:t xml:space="preserve"> </w:t>
      </w:r>
      <w:r w:rsidR="008F1C21" w:rsidRPr="00056D15">
        <w:rPr>
          <w:rFonts w:asciiTheme="minorHAnsi" w:hAnsiTheme="minorHAnsi" w:cstheme="minorHAnsi"/>
        </w:rPr>
        <w:t>13: 2214(o</w:t>
      </w:r>
      <w:r w:rsidRPr="00056D15">
        <w:rPr>
          <w:rFonts w:asciiTheme="minorHAnsi" w:hAnsiTheme="minorHAnsi" w:cstheme="minorHAnsi"/>
        </w:rPr>
        <w:t xml:space="preserve">nline) Available: </w:t>
      </w:r>
      <w:hyperlink r:id="rId27" w:history="1">
        <w:r w:rsidRPr="00056D15">
          <w:rPr>
            <w:rStyle w:val="Hyperlink"/>
            <w:rFonts w:asciiTheme="minorHAnsi" w:hAnsiTheme="minorHAnsi" w:cstheme="minorHAnsi"/>
          </w:rPr>
          <w:t>http://www.rrh.org.au</w:t>
        </w:r>
      </w:hyperlink>
    </w:p>
    <w:p w14:paraId="6E23B8B9" w14:textId="5878D119" w:rsidR="008A678B" w:rsidRPr="00056D15" w:rsidRDefault="00F46BEC" w:rsidP="001E366B">
      <w:pPr>
        <w:pStyle w:val="ListParagraph"/>
        <w:numPr>
          <w:ilvl w:val="0"/>
          <w:numId w:val="6"/>
        </w:numPr>
        <w:spacing w:after="120" w:line="360" w:lineRule="auto"/>
        <w:ind w:left="425" w:hanging="425"/>
        <w:contextualSpacing w:val="0"/>
        <w:rPr>
          <w:rFonts w:asciiTheme="minorHAnsi" w:hAnsiTheme="minorHAnsi" w:cstheme="minorHAnsi"/>
          <w:lang w:val="en-GB"/>
        </w:rPr>
      </w:pPr>
      <w:r w:rsidRPr="00056D15">
        <w:rPr>
          <w:rFonts w:asciiTheme="minorHAnsi" w:hAnsiTheme="minorHAnsi" w:cstheme="minorHAnsi"/>
          <w:color w:val="000000"/>
        </w:rPr>
        <w:t xml:space="preserve">Health Workforce Australia (HWA). Australia’s Health Workforce Series – Pharmacists in Focus. Adelaide, 2014. Available: </w:t>
      </w:r>
      <w:hyperlink r:id="rId28" w:history="1">
        <w:r w:rsidRPr="00056D15">
          <w:rPr>
            <w:rStyle w:val="Hyperlink"/>
            <w:rFonts w:asciiTheme="minorHAnsi" w:hAnsiTheme="minorHAnsi" w:cstheme="minorHAnsi"/>
          </w:rPr>
          <w:t>http://docplayer.net/15545759-Australia-s-health-workforce-series-pharmacists-in-focus-march-2014-hwa-australia-s-health-workforce-series-pharmacists-in-focus.html</w:t>
        </w:r>
      </w:hyperlink>
      <w:r w:rsidRPr="00056D15">
        <w:rPr>
          <w:rFonts w:asciiTheme="minorHAnsi" w:hAnsiTheme="minorHAnsi" w:cstheme="minorHAnsi"/>
          <w:color w:val="000000"/>
        </w:rPr>
        <w:t xml:space="preserve"> Accessed </w:t>
      </w:r>
      <w:r w:rsidR="00997985">
        <w:rPr>
          <w:rFonts w:asciiTheme="minorHAnsi" w:hAnsiTheme="minorHAnsi" w:cstheme="minorHAnsi"/>
          <w:color w:val="000000"/>
        </w:rPr>
        <w:t>30 August 2021</w:t>
      </w:r>
      <w:r w:rsidRPr="00056D15">
        <w:rPr>
          <w:rFonts w:asciiTheme="minorHAnsi" w:hAnsiTheme="minorHAnsi" w:cstheme="minorHAnsi"/>
          <w:color w:val="000000"/>
        </w:rPr>
        <w:t>.</w:t>
      </w:r>
    </w:p>
    <w:p w14:paraId="775D64A7" w14:textId="4D3773D1" w:rsidR="00EB1003" w:rsidRPr="00056D15" w:rsidRDefault="00EB1003" w:rsidP="001E366B">
      <w:pPr>
        <w:pStyle w:val="ListParagraph"/>
        <w:numPr>
          <w:ilvl w:val="0"/>
          <w:numId w:val="6"/>
        </w:numPr>
        <w:spacing w:after="120" w:line="360" w:lineRule="auto"/>
        <w:ind w:left="425" w:hanging="425"/>
        <w:contextualSpacing w:val="0"/>
        <w:rPr>
          <w:rFonts w:asciiTheme="minorHAnsi" w:hAnsiTheme="minorHAnsi" w:cstheme="minorHAnsi"/>
          <w:lang w:val="en-GB"/>
        </w:rPr>
      </w:pPr>
      <w:r w:rsidRPr="00056D15">
        <w:rPr>
          <w:rFonts w:asciiTheme="minorHAnsi" w:hAnsiTheme="minorHAnsi" w:cstheme="minorHAnsi"/>
          <w:lang w:val="en-GB"/>
        </w:rPr>
        <w:t xml:space="preserve">Fleming CA, Spark MJ. Factors influencing the selection of rural practice locations for early career pharmacists in Victoria. </w:t>
      </w:r>
      <w:proofErr w:type="spellStart"/>
      <w:r w:rsidRPr="00056D15">
        <w:rPr>
          <w:rFonts w:asciiTheme="minorHAnsi" w:hAnsiTheme="minorHAnsi" w:cstheme="minorHAnsi"/>
          <w:lang w:val="en-GB"/>
        </w:rPr>
        <w:t>Aust</w:t>
      </w:r>
      <w:proofErr w:type="spellEnd"/>
      <w:r w:rsidRPr="00056D15">
        <w:rPr>
          <w:rFonts w:asciiTheme="minorHAnsi" w:hAnsiTheme="minorHAnsi" w:cstheme="minorHAnsi"/>
          <w:lang w:val="en-GB"/>
        </w:rPr>
        <w:t xml:space="preserve"> J Rural Health</w:t>
      </w:r>
      <w:r w:rsidR="00155F44" w:rsidRPr="00056D15">
        <w:rPr>
          <w:rFonts w:asciiTheme="minorHAnsi" w:hAnsiTheme="minorHAnsi" w:cstheme="minorHAnsi"/>
          <w:lang w:val="en-GB"/>
        </w:rPr>
        <w:t xml:space="preserve"> 2011;</w:t>
      </w:r>
      <w:r w:rsidR="008142AF">
        <w:rPr>
          <w:rFonts w:asciiTheme="minorHAnsi" w:hAnsiTheme="minorHAnsi" w:cstheme="minorHAnsi"/>
          <w:lang w:val="en-GB"/>
        </w:rPr>
        <w:t xml:space="preserve"> </w:t>
      </w:r>
      <w:r w:rsidR="00155F44" w:rsidRPr="00056D15">
        <w:rPr>
          <w:rFonts w:asciiTheme="minorHAnsi" w:hAnsiTheme="minorHAnsi" w:cstheme="minorHAnsi"/>
          <w:lang w:val="en-GB"/>
        </w:rPr>
        <w:t>19:</w:t>
      </w:r>
      <w:r w:rsidR="008142AF">
        <w:rPr>
          <w:rFonts w:asciiTheme="minorHAnsi" w:hAnsiTheme="minorHAnsi" w:cstheme="minorHAnsi"/>
          <w:lang w:val="en-GB"/>
        </w:rPr>
        <w:t xml:space="preserve"> </w:t>
      </w:r>
      <w:r w:rsidRPr="00056D15">
        <w:rPr>
          <w:rFonts w:asciiTheme="minorHAnsi" w:hAnsiTheme="minorHAnsi" w:cstheme="minorHAnsi"/>
          <w:lang w:val="en-GB"/>
        </w:rPr>
        <w:t>290-297.</w:t>
      </w:r>
    </w:p>
    <w:p w14:paraId="58688344" w14:textId="6BBA7DAB" w:rsidR="00EB1003" w:rsidRPr="00056D15" w:rsidRDefault="00EB1003" w:rsidP="001E366B">
      <w:pPr>
        <w:pStyle w:val="ListParagraph"/>
        <w:numPr>
          <w:ilvl w:val="0"/>
          <w:numId w:val="6"/>
        </w:numPr>
        <w:spacing w:after="120" w:line="360" w:lineRule="auto"/>
        <w:ind w:left="425" w:hanging="425"/>
        <w:contextualSpacing w:val="0"/>
        <w:rPr>
          <w:rFonts w:asciiTheme="minorHAnsi" w:hAnsiTheme="minorHAnsi" w:cstheme="minorHAnsi"/>
          <w:lang w:val="en-GB"/>
        </w:rPr>
      </w:pPr>
      <w:r w:rsidRPr="00056D15">
        <w:rPr>
          <w:rFonts w:asciiTheme="minorHAnsi" w:eastAsiaTheme="minorEastAsia" w:hAnsiTheme="minorHAnsi" w:cstheme="minorHAnsi"/>
          <w:noProof/>
          <w:lang w:eastAsia="zh-CN"/>
        </w:rPr>
        <w:t>Taylor SM, Lindsay D, Glass BD. Rural pharmacy workforce: Influence of curriculum and clnical placement on pharmacists choice of rural practice. Aust J Rural Health</w:t>
      </w:r>
      <w:r w:rsidR="00155F44" w:rsidRPr="00056D15">
        <w:rPr>
          <w:rFonts w:asciiTheme="minorHAnsi" w:eastAsiaTheme="minorEastAsia" w:hAnsiTheme="minorHAnsi" w:cstheme="minorHAnsi"/>
          <w:noProof/>
          <w:lang w:eastAsia="zh-CN"/>
        </w:rPr>
        <w:t xml:space="preserve"> 2019;</w:t>
      </w:r>
      <w:r w:rsidR="008142AF">
        <w:rPr>
          <w:rFonts w:asciiTheme="minorHAnsi" w:eastAsiaTheme="minorEastAsia" w:hAnsiTheme="minorHAnsi" w:cstheme="minorHAnsi"/>
          <w:noProof/>
          <w:lang w:eastAsia="zh-CN"/>
        </w:rPr>
        <w:t xml:space="preserve"> </w:t>
      </w:r>
      <w:r w:rsidR="00155F44" w:rsidRPr="00056D15">
        <w:rPr>
          <w:rFonts w:asciiTheme="minorHAnsi" w:eastAsiaTheme="minorEastAsia" w:hAnsiTheme="minorHAnsi" w:cstheme="minorHAnsi"/>
          <w:noProof/>
          <w:lang w:eastAsia="zh-CN"/>
        </w:rPr>
        <w:t>27:</w:t>
      </w:r>
      <w:r w:rsidR="008142AF">
        <w:rPr>
          <w:rFonts w:asciiTheme="minorHAnsi" w:eastAsiaTheme="minorEastAsia" w:hAnsiTheme="minorHAnsi" w:cstheme="minorHAnsi"/>
          <w:noProof/>
          <w:lang w:eastAsia="zh-CN"/>
        </w:rPr>
        <w:t xml:space="preserve"> </w:t>
      </w:r>
      <w:r w:rsidRPr="00056D15">
        <w:rPr>
          <w:rFonts w:asciiTheme="minorHAnsi" w:eastAsiaTheme="minorEastAsia" w:hAnsiTheme="minorHAnsi" w:cstheme="minorHAnsi"/>
          <w:noProof/>
          <w:lang w:eastAsia="zh-CN"/>
        </w:rPr>
        <w:t>132-138.</w:t>
      </w:r>
    </w:p>
    <w:p w14:paraId="74108D41" w14:textId="65A13E8B" w:rsidR="00EB1003" w:rsidRPr="00056D15" w:rsidRDefault="00EB1003" w:rsidP="001E366B">
      <w:pPr>
        <w:pStyle w:val="ListParagraph"/>
        <w:numPr>
          <w:ilvl w:val="0"/>
          <w:numId w:val="6"/>
        </w:numPr>
        <w:spacing w:after="120" w:line="360" w:lineRule="auto"/>
        <w:ind w:left="425" w:hanging="425"/>
        <w:contextualSpacing w:val="0"/>
        <w:rPr>
          <w:rFonts w:asciiTheme="minorHAnsi" w:hAnsiTheme="minorHAnsi" w:cstheme="minorHAnsi"/>
          <w:lang w:val="en-GB"/>
        </w:rPr>
      </w:pPr>
      <w:r w:rsidRPr="00056D15">
        <w:rPr>
          <w:rFonts w:asciiTheme="minorHAnsi" w:eastAsiaTheme="minorEastAsia" w:hAnsiTheme="minorHAnsi" w:cstheme="minorHAnsi"/>
          <w:noProof/>
          <w:lang w:eastAsia="zh-CN"/>
        </w:rPr>
        <w:t xml:space="preserve">Hays CA, Taylor SM, Glass BD. The rural pharmacy practice landscape: Challenges and Motivators. J Multidiscip Healthc </w:t>
      </w:r>
      <w:r w:rsidR="00155F44" w:rsidRPr="00056D15">
        <w:rPr>
          <w:rFonts w:asciiTheme="minorHAnsi" w:eastAsiaTheme="minorEastAsia" w:hAnsiTheme="minorHAnsi" w:cstheme="minorHAnsi"/>
          <w:noProof/>
          <w:lang w:eastAsia="zh-CN"/>
        </w:rPr>
        <w:t>2020;</w:t>
      </w:r>
      <w:r w:rsidR="008142AF">
        <w:rPr>
          <w:rFonts w:asciiTheme="minorHAnsi" w:eastAsiaTheme="minorEastAsia" w:hAnsiTheme="minorHAnsi" w:cstheme="minorHAnsi"/>
          <w:noProof/>
          <w:lang w:eastAsia="zh-CN"/>
        </w:rPr>
        <w:t xml:space="preserve"> </w:t>
      </w:r>
      <w:r w:rsidR="00155F44" w:rsidRPr="00056D15">
        <w:rPr>
          <w:rFonts w:asciiTheme="minorHAnsi" w:eastAsiaTheme="minorEastAsia" w:hAnsiTheme="minorHAnsi" w:cstheme="minorHAnsi"/>
          <w:noProof/>
          <w:lang w:eastAsia="zh-CN"/>
        </w:rPr>
        <w:t>13:</w:t>
      </w:r>
      <w:r w:rsidR="008142AF">
        <w:rPr>
          <w:rFonts w:asciiTheme="minorHAnsi" w:eastAsiaTheme="minorEastAsia" w:hAnsiTheme="minorHAnsi" w:cstheme="minorHAnsi"/>
          <w:noProof/>
          <w:lang w:eastAsia="zh-CN"/>
        </w:rPr>
        <w:t xml:space="preserve"> </w:t>
      </w:r>
      <w:r w:rsidRPr="00056D15">
        <w:rPr>
          <w:rFonts w:asciiTheme="minorHAnsi" w:eastAsiaTheme="minorEastAsia" w:hAnsiTheme="minorHAnsi" w:cstheme="minorHAnsi"/>
          <w:noProof/>
          <w:lang w:eastAsia="zh-CN"/>
        </w:rPr>
        <w:t>227-234.</w:t>
      </w:r>
    </w:p>
    <w:p w14:paraId="17225EDF" w14:textId="4F61DE11" w:rsidR="003344CF" w:rsidRPr="00056D15" w:rsidRDefault="004C1E39" w:rsidP="001E366B">
      <w:pPr>
        <w:pStyle w:val="ListParagraph"/>
        <w:numPr>
          <w:ilvl w:val="0"/>
          <w:numId w:val="6"/>
        </w:numPr>
        <w:spacing w:after="120" w:line="360" w:lineRule="auto"/>
        <w:ind w:left="425" w:hanging="425"/>
        <w:contextualSpacing w:val="0"/>
        <w:rPr>
          <w:rFonts w:asciiTheme="minorHAnsi" w:hAnsiTheme="minorHAnsi" w:cstheme="minorHAnsi"/>
          <w:lang w:val="en-GB"/>
        </w:rPr>
      </w:pPr>
      <w:r w:rsidRPr="00056D15">
        <w:rPr>
          <w:rFonts w:asciiTheme="minorHAnsi" w:hAnsiTheme="minorHAnsi" w:cstheme="minorHAnsi"/>
          <w:lang w:val="en-GB"/>
        </w:rPr>
        <w:t xml:space="preserve">Taylor SM, Glass BD. Scoping the impact of curriculum and placement on the rural pharmacy workforce. </w:t>
      </w:r>
      <w:proofErr w:type="spellStart"/>
      <w:r w:rsidRPr="00056D15">
        <w:rPr>
          <w:rFonts w:asciiTheme="minorHAnsi" w:hAnsiTheme="minorHAnsi" w:cstheme="minorHAnsi"/>
          <w:lang w:val="en-GB"/>
        </w:rPr>
        <w:t>Aust</w:t>
      </w:r>
      <w:proofErr w:type="spellEnd"/>
      <w:r w:rsidRPr="00056D15">
        <w:rPr>
          <w:rFonts w:asciiTheme="minorHAnsi" w:hAnsiTheme="minorHAnsi" w:cstheme="minorHAnsi"/>
          <w:lang w:val="en-GB"/>
        </w:rPr>
        <w:t xml:space="preserve"> J Rural Health</w:t>
      </w:r>
      <w:r w:rsidR="00155F44" w:rsidRPr="00056D15">
        <w:rPr>
          <w:rFonts w:asciiTheme="minorHAnsi" w:hAnsiTheme="minorHAnsi" w:cstheme="minorHAnsi"/>
          <w:lang w:val="en-GB"/>
        </w:rPr>
        <w:t xml:space="preserve"> 2018;</w:t>
      </w:r>
      <w:r w:rsidR="008142AF">
        <w:rPr>
          <w:rFonts w:asciiTheme="minorHAnsi" w:hAnsiTheme="minorHAnsi" w:cstheme="minorHAnsi"/>
          <w:lang w:val="en-GB"/>
        </w:rPr>
        <w:t xml:space="preserve"> </w:t>
      </w:r>
      <w:r w:rsidR="00155F44" w:rsidRPr="00056D15">
        <w:rPr>
          <w:rFonts w:asciiTheme="minorHAnsi" w:hAnsiTheme="minorHAnsi" w:cstheme="minorHAnsi"/>
          <w:lang w:val="en-GB"/>
        </w:rPr>
        <w:t>26:</w:t>
      </w:r>
      <w:r w:rsidR="008142AF">
        <w:rPr>
          <w:rFonts w:asciiTheme="minorHAnsi" w:hAnsiTheme="minorHAnsi" w:cstheme="minorHAnsi"/>
          <w:lang w:val="en-GB"/>
        </w:rPr>
        <w:t xml:space="preserve"> </w:t>
      </w:r>
      <w:r w:rsidRPr="00056D15">
        <w:rPr>
          <w:rFonts w:asciiTheme="minorHAnsi" w:hAnsiTheme="minorHAnsi" w:cstheme="minorHAnsi"/>
          <w:lang w:val="en-GB"/>
        </w:rPr>
        <w:t>384-393.</w:t>
      </w:r>
    </w:p>
    <w:p w14:paraId="6EE5377A" w14:textId="7BCB8D43" w:rsidR="00136329" w:rsidRPr="00056D15" w:rsidRDefault="00136329" w:rsidP="001E366B">
      <w:pPr>
        <w:pStyle w:val="ListParagraph"/>
        <w:numPr>
          <w:ilvl w:val="0"/>
          <w:numId w:val="6"/>
        </w:numPr>
        <w:spacing w:after="120" w:line="360" w:lineRule="auto"/>
        <w:ind w:left="426" w:hanging="426"/>
        <w:contextualSpacing w:val="0"/>
        <w:rPr>
          <w:rFonts w:asciiTheme="minorHAnsi" w:hAnsiTheme="minorHAnsi" w:cstheme="minorHAnsi"/>
        </w:rPr>
      </w:pPr>
      <w:r w:rsidRPr="00056D15">
        <w:rPr>
          <w:rFonts w:asciiTheme="minorHAnsi" w:hAnsiTheme="minorHAnsi" w:cstheme="minorHAnsi"/>
        </w:rPr>
        <w:t xml:space="preserve">Eisenberg JM. If trickle-down physician workforce policy failed, is the choice now between market and government regulation? Inquiry </w:t>
      </w:r>
      <w:r w:rsidR="00155F44" w:rsidRPr="00056D15">
        <w:rPr>
          <w:rFonts w:asciiTheme="minorHAnsi" w:hAnsiTheme="minorHAnsi" w:cstheme="minorHAnsi"/>
        </w:rPr>
        <w:t>1994(Fall);31(3</w:t>
      </w:r>
      <w:proofErr w:type="gramStart"/>
      <w:r w:rsidR="00155F44" w:rsidRPr="00056D15">
        <w:rPr>
          <w:rFonts w:asciiTheme="minorHAnsi" w:hAnsiTheme="minorHAnsi" w:cstheme="minorHAnsi"/>
        </w:rPr>
        <w:t>),Health</w:t>
      </w:r>
      <w:proofErr w:type="gramEnd"/>
      <w:r w:rsidR="00155F44" w:rsidRPr="00056D15">
        <w:rPr>
          <w:rFonts w:asciiTheme="minorHAnsi" w:hAnsiTheme="minorHAnsi" w:cstheme="minorHAnsi"/>
        </w:rPr>
        <w:t xml:space="preserve"> Workforce Policy:</w:t>
      </w:r>
      <w:r w:rsidR="008142AF">
        <w:rPr>
          <w:rFonts w:asciiTheme="minorHAnsi" w:hAnsiTheme="minorHAnsi" w:cstheme="minorHAnsi"/>
        </w:rPr>
        <w:t xml:space="preserve"> </w:t>
      </w:r>
      <w:r w:rsidRPr="00056D15">
        <w:rPr>
          <w:rFonts w:asciiTheme="minorHAnsi" w:hAnsiTheme="minorHAnsi" w:cstheme="minorHAnsi"/>
        </w:rPr>
        <w:t xml:space="preserve">241-249. Available: </w:t>
      </w:r>
      <w:hyperlink r:id="rId29" w:history="1">
        <w:r w:rsidRPr="00056D15">
          <w:rPr>
            <w:rStyle w:val="Hyperlink"/>
            <w:rFonts w:asciiTheme="minorHAnsi" w:hAnsiTheme="minorHAnsi" w:cstheme="minorHAnsi"/>
          </w:rPr>
          <w:t>https://www.jstor.org/stable/pdf/29772468.pdf</w:t>
        </w:r>
      </w:hyperlink>
    </w:p>
    <w:p w14:paraId="2185CA4A" w14:textId="597E7078" w:rsidR="00136329" w:rsidRPr="00056D15" w:rsidRDefault="00136329" w:rsidP="001E366B">
      <w:pPr>
        <w:pStyle w:val="ListParagraph"/>
        <w:numPr>
          <w:ilvl w:val="0"/>
          <w:numId w:val="6"/>
        </w:numPr>
        <w:spacing w:after="120" w:line="360" w:lineRule="auto"/>
        <w:ind w:left="426" w:hanging="426"/>
        <w:contextualSpacing w:val="0"/>
        <w:rPr>
          <w:rFonts w:asciiTheme="minorHAnsi" w:hAnsiTheme="minorHAnsi" w:cstheme="minorHAnsi"/>
        </w:rPr>
      </w:pPr>
      <w:r w:rsidRPr="00056D15">
        <w:rPr>
          <w:rFonts w:asciiTheme="minorHAnsi" w:hAnsiTheme="minorHAnsi" w:cstheme="minorHAnsi"/>
        </w:rPr>
        <w:t xml:space="preserve">Farmer J, Kenny A, McKinstry C, Huysmans RD. A scoping review of the association between rural medical education and rural practice location. Hum </w:t>
      </w:r>
      <w:proofErr w:type="spellStart"/>
      <w:r w:rsidRPr="00056D15">
        <w:rPr>
          <w:rFonts w:asciiTheme="minorHAnsi" w:hAnsiTheme="minorHAnsi" w:cstheme="minorHAnsi"/>
        </w:rPr>
        <w:t>Resour</w:t>
      </w:r>
      <w:proofErr w:type="spellEnd"/>
      <w:r w:rsidRPr="00056D15">
        <w:rPr>
          <w:rFonts w:asciiTheme="minorHAnsi" w:hAnsiTheme="minorHAnsi" w:cstheme="minorHAnsi"/>
        </w:rPr>
        <w:t xml:space="preserve"> Health</w:t>
      </w:r>
      <w:r w:rsidR="008F1C21" w:rsidRPr="00056D15">
        <w:rPr>
          <w:rFonts w:asciiTheme="minorHAnsi" w:hAnsiTheme="minorHAnsi" w:cstheme="minorHAnsi"/>
        </w:rPr>
        <w:t xml:space="preserve"> 2015;</w:t>
      </w:r>
      <w:r w:rsidR="008142AF">
        <w:rPr>
          <w:rFonts w:asciiTheme="minorHAnsi" w:hAnsiTheme="minorHAnsi" w:cstheme="minorHAnsi"/>
        </w:rPr>
        <w:t xml:space="preserve"> </w:t>
      </w:r>
      <w:r w:rsidRPr="00056D15">
        <w:rPr>
          <w:rFonts w:asciiTheme="minorHAnsi" w:hAnsiTheme="minorHAnsi" w:cstheme="minorHAnsi"/>
        </w:rPr>
        <w:t>13: 27.</w:t>
      </w:r>
    </w:p>
    <w:p w14:paraId="7C965D23" w14:textId="5516027C" w:rsidR="00136329" w:rsidRPr="00056D15" w:rsidRDefault="00136329" w:rsidP="001E366B">
      <w:pPr>
        <w:pStyle w:val="ListParagraph"/>
        <w:numPr>
          <w:ilvl w:val="0"/>
          <w:numId w:val="6"/>
        </w:numPr>
        <w:spacing w:after="120" w:line="360" w:lineRule="auto"/>
        <w:ind w:left="426" w:hanging="426"/>
        <w:contextualSpacing w:val="0"/>
        <w:rPr>
          <w:rFonts w:asciiTheme="minorHAnsi" w:hAnsiTheme="minorHAnsi" w:cstheme="minorHAnsi"/>
          <w:sz w:val="22"/>
          <w:szCs w:val="22"/>
        </w:rPr>
      </w:pPr>
      <w:r w:rsidRPr="00056D15">
        <w:rPr>
          <w:rFonts w:asciiTheme="minorHAnsi" w:hAnsiTheme="minorHAnsi" w:cstheme="minorHAnsi"/>
          <w:sz w:val="22"/>
          <w:szCs w:val="22"/>
        </w:rPr>
        <w:t xml:space="preserve">Danish A, </w:t>
      </w:r>
      <w:proofErr w:type="spellStart"/>
      <w:r w:rsidRPr="00056D15">
        <w:rPr>
          <w:rFonts w:asciiTheme="minorHAnsi" w:hAnsiTheme="minorHAnsi" w:cstheme="minorHAnsi"/>
          <w:sz w:val="22"/>
          <w:szCs w:val="22"/>
        </w:rPr>
        <w:t>Blais</w:t>
      </w:r>
      <w:proofErr w:type="spellEnd"/>
      <w:r w:rsidRPr="00056D15">
        <w:rPr>
          <w:rFonts w:asciiTheme="minorHAnsi" w:hAnsiTheme="minorHAnsi" w:cstheme="minorHAnsi"/>
          <w:sz w:val="22"/>
          <w:szCs w:val="22"/>
        </w:rPr>
        <w:t xml:space="preserve"> R, Champagne F. Strategic analysis of interventions to reduce physician shortages in rural regions. Rural Remote Health</w:t>
      </w:r>
      <w:r w:rsidR="008F1C21" w:rsidRPr="00056D15">
        <w:rPr>
          <w:rFonts w:asciiTheme="minorHAnsi" w:hAnsiTheme="minorHAnsi" w:cstheme="minorHAnsi"/>
          <w:sz w:val="22"/>
          <w:szCs w:val="22"/>
        </w:rPr>
        <w:t xml:space="preserve"> 2019;</w:t>
      </w:r>
      <w:r w:rsidR="008142AF">
        <w:rPr>
          <w:rFonts w:asciiTheme="minorHAnsi" w:hAnsiTheme="minorHAnsi" w:cstheme="minorHAnsi"/>
          <w:sz w:val="22"/>
          <w:szCs w:val="22"/>
        </w:rPr>
        <w:t xml:space="preserve"> </w:t>
      </w:r>
      <w:r w:rsidR="008F1C21" w:rsidRPr="00056D15">
        <w:rPr>
          <w:rFonts w:asciiTheme="minorHAnsi" w:hAnsiTheme="minorHAnsi" w:cstheme="minorHAnsi"/>
          <w:sz w:val="22"/>
          <w:szCs w:val="22"/>
        </w:rPr>
        <w:t>19(4):</w:t>
      </w:r>
      <w:r w:rsidR="008142AF">
        <w:rPr>
          <w:rFonts w:asciiTheme="minorHAnsi" w:hAnsiTheme="minorHAnsi" w:cstheme="minorHAnsi"/>
          <w:sz w:val="22"/>
          <w:szCs w:val="22"/>
        </w:rPr>
        <w:t xml:space="preserve"> </w:t>
      </w:r>
      <w:r w:rsidRPr="00056D15">
        <w:rPr>
          <w:rFonts w:asciiTheme="minorHAnsi" w:hAnsiTheme="minorHAnsi" w:cstheme="minorHAnsi"/>
          <w:sz w:val="22"/>
          <w:szCs w:val="22"/>
        </w:rPr>
        <w:t>5466</w:t>
      </w:r>
      <w:r w:rsidR="008F1C21" w:rsidRPr="00056D15">
        <w:rPr>
          <w:rFonts w:asciiTheme="minorHAnsi" w:hAnsiTheme="minorHAnsi" w:cstheme="minorHAnsi"/>
          <w:sz w:val="22"/>
          <w:szCs w:val="22"/>
        </w:rPr>
        <w:t>(online)</w:t>
      </w:r>
      <w:r w:rsidRPr="00056D15">
        <w:rPr>
          <w:rFonts w:asciiTheme="minorHAnsi" w:hAnsiTheme="minorHAnsi" w:cstheme="minorHAnsi"/>
          <w:sz w:val="22"/>
          <w:szCs w:val="22"/>
        </w:rPr>
        <w:t xml:space="preserve">. Available: </w:t>
      </w:r>
      <w:hyperlink r:id="rId30" w:history="1">
        <w:r w:rsidRPr="00056D15">
          <w:rPr>
            <w:rStyle w:val="Hyperlink"/>
            <w:rFonts w:asciiTheme="minorHAnsi" w:hAnsiTheme="minorHAnsi" w:cstheme="minorHAnsi"/>
            <w:sz w:val="22"/>
            <w:szCs w:val="22"/>
          </w:rPr>
          <w:t>https://doi.org/10.22605/RRH5466</w:t>
        </w:r>
      </w:hyperlink>
    </w:p>
    <w:p w14:paraId="0A1052B4" w14:textId="203BA31B" w:rsidR="00531B1C" w:rsidRPr="00056D15" w:rsidRDefault="00531B1C" w:rsidP="001E366B">
      <w:pPr>
        <w:pStyle w:val="ListParagraph"/>
        <w:numPr>
          <w:ilvl w:val="0"/>
          <w:numId w:val="6"/>
        </w:numPr>
        <w:spacing w:after="120" w:line="360" w:lineRule="auto"/>
        <w:ind w:left="426" w:hanging="426"/>
        <w:contextualSpacing w:val="0"/>
        <w:rPr>
          <w:rFonts w:asciiTheme="minorHAnsi" w:hAnsiTheme="minorHAnsi" w:cstheme="minorHAnsi"/>
          <w:sz w:val="22"/>
          <w:szCs w:val="22"/>
        </w:rPr>
      </w:pPr>
      <w:r w:rsidRPr="00056D15">
        <w:rPr>
          <w:rFonts w:asciiTheme="minorHAnsi" w:hAnsiTheme="minorHAnsi" w:cstheme="minorHAnsi"/>
          <w:sz w:val="22"/>
          <w:szCs w:val="22"/>
        </w:rPr>
        <w:t xml:space="preserve">Smith T, Sutton K, Pit S, </w:t>
      </w:r>
      <w:proofErr w:type="spellStart"/>
      <w:r w:rsidRPr="00056D15">
        <w:rPr>
          <w:rFonts w:asciiTheme="minorHAnsi" w:hAnsiTheme="minorHAnsi" w:cstheme="minorHAnsi"/>
          <w:sz w:val="22"/>
          <w:szCs w:val="22"/>
        </w:rPr>
        <w:t>Muyambi</w:t>
      </w:r>
      <w:proofErr w:type="spellEnd"/>
      <w:r w:rsidRPr="00056D15">
        <w:rPr>
          <w:rFonts w:asciiTheme="minorHAnsi" w:hAnsiTheme="minorHAnsi" w:cstheme="minorHAnsi"/>
          <w:sz w:val="22"/>
          <w:szCs w:val="22"/>
        </w:rPr>
        <w:t xml:space="preserve"> K, Terry D, Farthing A, et al. Health professional students’ rural placement satisfaction and rural practice intentions: A national cross-sectional survey. Aust J Rural Health 2018; </w:t>
      </w:r>
      <w:r w:rsidRPr="00056D15">
        <w:rPr>
          <w:rFonts w:asciiTheme="minorHAnsi" w:hAnsiTheme="minorHAnsi" w:cstheme="minorHAnsi"/>
          <w:bCs/>
          <w:snapToGrid w:val="0"/>
          <w:sz w:val="22"/>
          <w:szCs w:val="22"/>
          <w:lang w:val="en-US" w:eastAsia="en-US"/>
        </w:rPr>
        <w:t>26</w:t>
      </w:r>
      <w:r w:rsidRPr="00056D15">
        <w:rPr>
          <w:rFonts w:asciiTheme="minorHAnsi" w:hAnsiTheme="minorHAnsi" w:cstheme="minorHAnsi"/>
          <w:snapToGrid w:val="0"/>
          <w:sz w:val="22"/>
          <w:szCs w:val="22"/>
          <w:lang w:val="en-US" w:eastAsia="en-US"/>
        </w:rPr>
        <w:t xml:space="preserve">(1): 26-32. DOI: 10.1111/ajr.12375 Available: </w:t>
      </w:r>
      <w:hyperlink r:id="rId31" w:history="1">
        <w:r w:rsidRPr="00056D15">
          <w:rPr>
            <w:rFonts w:asciiTheme="minorHAnsi" w:hAnsiTheme="minorHAnsi" w:cstheme="minorHAnsi"/>
            <w:snapToGrid w:val="0"/>
            <w:color w:val="0000FF"/>
            <w:sz w:val="22"/>
            <w:szCs w:val="22"/>
            <w:u w:val="single"/>
            <w:lang w:val="en-US" w:eastAsia="en-US"/>
          </w:rPr>
          <w:t>http://onlinelibrary.wiley.com/doi/10.1111/ajr.12375/full</w:t>
        </w:r>
      </w:hyperlink>
      <w:r w:rsidRPr="00056D15">
        <w:rPr>
          <w:rFonts w:asciiTheme="minorHAnsi" w:hAnsiTheme="minorHAnsi" w:cstheme="minorHAnsi"/>
          <w:snapToGrid w:val="0"/>
          <w:color w:val="0000FF"/>
          <w:sz w:val="22"/>
          <w:szCs w:val="22"/>
          <w:u w:val="single"/>
          <w:lang w:val="en-US" w:eastAsia="en-US"/>
        </w:rPr>
        <w:t xml:space="preserve"> </w:t>
      </w:r>
    </w:p>
    <w:p w14:paraId="665EC2C0" w14:textId="77777777" w:rsidR="00D84307" w:rsidRPr="00D84307" w:rsidRDefault="00136329" w:rsidP="00F736BC">
      <w:pPr>
        <w:pStyle w:val="ListParagraph"/>
        <w:numPr>
          <w:ilvl w:val="0"/>
          <w:numId w:val="6"/>
        </w:numPr>
        <w:spacing w:after="120" w:line="360" w:lineRule="auto"/>
        <w:ind w:left="426" w:hanging="426"/>
        <w:contextualSpacing w:val="0"/>
        <w:rPr>
          <w:rFonts w:asciiTheme="minorHAnsi" w:eastAsiaTheme="minorEastAsia" w:hAnsiTheme="minorHAnsi" w:cstheme="minorHAnsi"/>
          <w:noProof/>
          <w:lang w:eastAsia="zh-CN"/>
        </w:rPr>
      </w:pPr>
      <w:r w:rsidRPr="00D84307">
        <w:rPr>
          <w:rFonts w:asciiTheme="minorHAnsi" w:hAnsiTheme="minorHAnsi" w:cstheme="minorHAnsi"/>
          <w:sz w:val="22"/>
          <w:szCs w:val="22"/>
        </w:rPr>
        <w:lastRenderedPageBreak/>
        <w:t>Taylor S, Cairns A, Glass B. Health</w:t>
      </w:r>
      <w:r w:rsidRPr="00D84307">
        <w:rPr>
          <w:rFonts w:asciiTheme="minorHAnsi" w:hAnsiTheme="minorHAnsi" w:cstheme="minorHAnsi"/>
        </w:rPr>
        <w:t xml:space="preserve"> professional perspectives of expanded practice in rural community pharmacy in Australia. Int J Pharm </w:t>
      </w:r>
      <w:proofErr w:type="spellStart"/>
      <w:r w:rsidRPr="00D84307">
        <w:rPr>
          <w:rFonts w:asciiTheme="minorHAnsi" w:hAnsiTheme="minorHAnsi" w:cstheme="minorHAnsi"/>
        </w:rPr>
        <w:t>Pract</w:t>
      </w:r>
      <w:proofErr w:type="spellEnd"/>
      <w:r w:rsidR="008F1C21" w:rsidRPr="00D84307">
        <w:rPr>
          <w:rFonts w:asciiTheme="minorHAnsi" w:hAnsiTheme="minorHAnsi" w:cstheme="minorHAnsi"/>
        </w:rPr>
        <w:t xml:space="preserve"> 2020;</w:t>
      </w:r>
      <w:r w:rsidR="008142AF" w:rsidRPr="00D84307">
        <w:rPr>
          <w:rFonts w:asciiTheme="minorHAnsi" w:hAnsiTheme="minorHAnsi" w:cstheme="minorHAnsi"/>
        </w:rPr>
        <w:t xml:space="preserve"> </w:t>
      </w:r>
      <w:r w:rsidR="00D84307" w:rsidRPr="00D84307">
        <w:rPr>
          <w:rFonts w:asciiTheme="minorHAnsi" w:hAnsiTheme="minorHAnsi" w:cstheme="minorHAnsi"/>
        </w:rPr>
        <w:t>28(5):458–465</w:t>
      </w:r>
      <w:r w:rsidRPr="00D84307">
        <w:rPr>
          <w:rFonts w:asciiTheme="minorHAnsi" w:hAnsiTheme="minorHAnsi" w:cstheme="minorHAnsi"/>
        </w:rPr>
        <w:t xml:space="preserve">. Available: </w:t>
      </w:r>
      <w:hyperlink r:id="rId32" w:history="1">
        <w:r w:rsidRPr="00D84307">
          <w:rPr>
            <w:rStyle w:val="Hyperlink"/>
            <w:rFonts w:asciiTheme="minorHAnsi" w:hAnsiTheme="minorHAnsi" w:cstheme="minorHAnsi"/>
          </w:rPr>
          <w:t>https://doi.org/10.1111/ijpp.12648</w:t>
        </w:r>
      </w:hyperlink>
      <w:r w:rsidRPr="00D84307">
        <w:rPr>
          <w:rFonts w:asciiTheme="minorHAnsi" w:hAnsiTheme="minorHAnsi" w:cstheme="minorHAnsi"/>
        </w:rPr>
        <w:t xml:space="preserve"> </w:t>
      </w:r>
    </w:p>
    <w:p w14:paraId="5CE0328D" w14:textId="786F7169" w:rsidR="00746CE6" w:rsidRPr="00D84307" w:rsidRDefault="00746CE6" w:rsidP="00F736BC">
      <w:pPr>
        <w:pStyle w:val="ListParagraph"/>
        <w:numPr>
          <w:ilvl w:val="0"/>
          <w:numId w:val="6"/>
        </w:numPr>
        <w:spacing w:after="120" w:line="360" w:lineRule="auto"/>
        <w:ind w:left="426" w:hanging="426"/>
        <w:contextualSpacing w:val="0"/>
        <w:rPr>
          <w:rFonts w:asciiTheme="minorHAnsi" w:eastAsiaTheme="minorEastAsia" w:hAnsiTheme="minorHAnsi" w:cstheme="minorHAnsi"/>
          <w:noProof/>
          <w:lang w:eastAsia="zh-CN"/>
        </w:rPr>
      </w:pPr>
      <w:r w:rsidRPr="00D84307">
        <w:rPr>
          <w:rFonts w:asciiTheme="minorHAnsi" w:eastAsiaTheme="minorEastAsia" w:hAnsiTheme="minorHAnsi" w:cstheme="minorHAnsi"/>
          <w:noProof/>
          <w:lang w:eastAsia="zh-CN"/>
        </w:rPr>
        <w:t>Taylor S, Cairns A, Glass B. Role theory: A framework to explore health professional perceptions of expanding rural community pharmacists’ role. Pharmacy 2020;</w:t>
      </w:r>
      <w:r w:rsidR="008142AF" w:rsidRPr="00D84307">
        <w:rPr>
          <w:rFonts w:asciiTheme="minorHAnsi" w:eastAsiaTheme="minorEastAsia" w:hAnsiTheme="minorHAnsi" w:cstheme="minorHAnsi"/>
          <w:noProof/>
          <w:lang w:eastAsia="zh-CN"/>
        </w:rPr>
        <w:t xml:space="preserve"> </w:t>
      </w:r>
      <w:r w:rsidRPr="00D84307">
        <w:rPr>
          <w:rFonts w:asciiTheme="minorHAnsi" w:eastAsiaTheme="minorEastAsia" w:hAnsiTheme="minorHAnsi" w:cstheme="minorHAnsi"/>
          <w:noProof/>
          <w:lang w:eastAsia="zh-CN"/>
        </w:rPr>
        <w:t>8(3):</w:t>
      </w:r>
      <w:r w:rsidR="008142AF" w:rsidRPr="00D84307">
        <w:rPr>
          <w:rFonts w:asciiTheme="minorHAnsi" w:eastAsiaTheme="minorEastAsia" w:hAnsiTheme="minorHAnsi" w:cstheme="minorHAnsi"/>
          <w:noProof/>
          <w:lang w:eastAsia="zh-CN"/>
        </w:rPr>
        <w:t xml:space="preserve"> </w:t>
      </w:r>
      <w:r w:rsidRPr="00D84307">
        <w:rPr>
          <w:rFonts w:asciiTheme="minorHAnsi" w:eastAsiaTheme="minorEastAsia" w:hAnsiTheme="minorHAnsi" w:cstheme="minorHAnsi"/>
          <w:noProof/>
          <w:lang w:eastAsia="zh-CN"/>
        </w:rPr>
        <w:t xml:space="preserve">161. </w:t>
      </w:r>
      <w:hyperlink r:id="rId33" w:history="1">
        <w:r w:rsidRPr="00D84307">
          <w:rPr>
            <w:rStyle w:val="Hyperlink"/>
            <w:rFonts w:asciiTheme="minorHAnsi" w:hAnsiTheme="minorHAnsi" w:cstheme="minorHAnsi"/>
          </w:rPr>
          <w:t>https://doi.org/10.3390/pharmacy8030161</w:t>
        </w:r>
      </w:hyperlink>
      <w:r w:rsidRPr="00D84307">
        <w:rPr>
          <w:rFonts w:asciiTheme="minorHAnsi" w:hAnsiTheme="minorHAnsi" w:cstheme="minorHAnsi"/>
        </w:rPr>
        <w:t xml:space="preserve"> </w:t>
      </w:r>
    </w:p>
    <w:p w14:paraId="4E1692E2" w14:textId="7D68346F" w:rsidR="00136329" w:rsidRPr="00056D15" w:rsidRDefault="00136329" w:rsidP="001E366B">
      <w:pPr>
        <w:pStyle w:val="ListParagraph"/>
        <w:numPr>
          <w:ilvl w:val="0"/>
          <w:numId w:val="6"/>
        </w:numPr>
        <w:spacing w:after="120" w:line="360" w:lineRule="auto"/>
        <w:ind w:left="426" w:hanging="426"/>
        <w:contextualSpacing w:val="0"/>
        <w:rPr>
          <w:rFonts w:asciiTheme="minorHAnsi" w:eastAsiaTheme="minorEastAsia" w:hAnsiTheme="minorHAnsi" w:cstheme="minorHAnsi"/>
          <w:noProof/>
          <w:lang w:eastAsia="zh-CN"/>
        </w:rPr>
      </w:pPr>
      <w:r w:rsidRPr="00056D15">
        <w:rPr>
          <w:rFonts w:asciiTheme="minorHAnsi" w:eastAsiaTheme="minorEastAsia" w:hAnsiTheme="minorHAnsi" w:cstheme="minorHAnsi"/>
          <w:noProof/>
          <w:lang w:eastAsia="zh-CN"/>
        </w:rPr>
        <w:t xml:space="preserve">Duckett S, Breadon P, Ginnivan L. Access all areas: new solutions for GP shortages in rural Australia. Grattan Institute, Melbourne. 2013. </w:t>
      </w:r>
      <w:hyperlink r:id="rId34" w:history="1">
        <w:r w:rsidR="00746CE6" w:rsidRPr="00056D15">
          <w:rPr>
            <w:rStyle w:val="Hyperlink"/>
            <w:rFonts w:asciiTheme="minorHAnsi" w:eastAsiaTheme="minorEastAsia" w:hAnsiTheme="minorHAnsi" w:cstheme="minorHAnsi"/>
            <w:noProof/>
            <w:lang w:eastAsia="zh-CN"/>
          </w:rPr>
          <w:t>https://grattan.edu.au/report/access-all-areas-new-solutions-for-gp-shortages-in-rural-australia/</w:t>
        </w:r>
      </w:hyperlink>
      <w:r w:rsidR="00746CE6" w:rsidRPr="00056D15">
        <w:rPr>
          <w:rFonts w:asciiTheme="minorHAnsi" w:eastAsiaTheme="minorEastAsia" w:hAnsiTheme="minorHAnsi" w:cstheme="minorHAnsi"/>
          <w:noProof/>
          <w:lang w:eastAsia="zh-CN"/>
        </w:rPr>
        <w:t xml:space="preserve"> </w:t>
      </w:r>
      <w:r w:rsidRPr="00056D15">
        <w:rPr>
          <w:rFonts w:asciiTheme="minorHAnsi" w:eastAsiaTheme="minorEastAsia" w:hAnsiTheme="minorHAnsi" w:cstheme="minorHAnsi"/>
          <w:noProof/>
          <w:lang w:eastAsia="zh-CN"/>
        </w:rPr>
        <w:t xml:space="preserve">Accessed </w:t>
      </w:r>
      <w:r w:rsidR="00997985">
        <w:rPr>
          <w:rFonts w:asciiTheme="minorHAnsi" w:eastAsiaTheme="minorEastAsia" w:hAnsiTheme="minorHAnsi" w:cstheme="minorHAnsi"/>
          <w:noProof/>
          <w:lang w:eastAsia="zh-CN"/>
        </w:rPr>
        <w:t>30 August 2021</w:t>
      </w:r>
      <w:r w:rsidRPr="00056D15">
        <w:rPr>
          <w:rFonts w:asciiTheme="minorHAnsi" w:eastAsiaTheme="minorEastAsia" w:hAnsiTheme="minorHAnsi" w:cstheme="minorHAnsi"/>
          <w:noProof/>
          <w:lang w:eastAsia="zh-CN"/>
        </w:rPr>
        <w:t xml:space="preserve">. </w:t>
      </w:r>
    </w:p>
    <w:p w14:paraId="53C02B53" w14:textId="61A7CF93" w:rsidR="00136329" w:rsidRPr="00056D15" w:rsidRDefault="00136329" w:rsidP="001E366B">
      <w:pPr>
        <w:pStyle w:val="ListParagraph"/>
        <w:numPr>
          <w:ilvl w:val="0"/>
          <w:numId w:val="6"/>
        </w:numPr>
        <w:spacing w:after="120" w:line="360" w:lineRule="auto"/>
        <w:ind w:left="426" w:hanging="426"/>
        <w:contextualSpacing w:val="0"/>
        <w:rPr>
          <w:rFonts w:asciiTheme="minorHAnsi" w:eastAsiaTheme="minorEastAsia" w:hAnsiTheme="minorHAnsi" w:cstheme="minorHAnsi"/>
          <w:noProof/>
          <w:lang w:eastAsia="zh-CN"/>
        </w:rPr>
      </w:pPr>
      <w:r w:rsidRPr="00056D15">
        <w:rPr>
          <w:rFonts w:asciiTheme="minorHAnsi" w:eastAsiaTheme="minorEastAsia" w:hAnsiTheme="minorHAnsi" w:cstheme="minorHAnsi"/>
          <w:noProof/>
          <w:lang w:eastAsia="zh-CN"/>
        </w:rPr>
        <w:t>Smith T, McNeil K, Mitchell R, Boyle B, Ries N. A study of macro-, meso and micro-barriers and enablers affecting extended scope of practice: The case of rural nurse practitioners in Australia. BMC Nurs</w:t>
      </w:r>
      <w:r w:rsidR="008F1C21" w:rsidRPr="00056D15">
        <w:rPr>
          <w:rFonts w:asciiTheme="minorHAnsi" w:eastAsiaTheme="minorEastAsia" w:hAnsiTheme="minorHAnsi" w:cstheme="minorHAnsi"/>
          <w:noProof/>
          <w:lang w:eastAsia="zh-CN"/>
        </w:rPr>
        <w:t xml:space="preserve"> 2019;</w:t>
      </w:r>
      <w:r w:rsidR="008142AF">
        <w:rPr>
          <w:rFonts w:asciiTheme="minorHAnsi" w:eastAsiaTheme="minorEastAsia" w:hAnsiTheme="minorHAnsi" w:cstheme="minorHAnsi"/>
          <w:noProof/>
          <w:lang w:eastAsia="zh-CN"/>
        </w:rPr>
        <w:t xml:space="preserve"> </w:t>
      </w:r>
      <w:r w:rsidRPr="00056D15">
        <w:rPr>
          <w:rFonts w:asciiTheme="minorHAnsi" w:eastAsiaTheme="minorEastAsia" w:hAnsiTheme="minorHAnsi" w:cstheme="minorHAnsi"/>
          <w:noProof/>
          <w:lang w:eastAsia="zh-CN"/>
        </w:rPr>
        <w:t>18:</w:t>
      </w:r>
      <w:r w:rsidR="008142AF">
        <w:rPr>
          <w:rFonts w:asciiTheme="minorHAnsi" w:eastAsiaTheme="minorEastAsia" w:hAnsiTheme="minorHAnsi" w:cstheme="minorHAnsi"/>
          <w:noProof/>
          <w:lang w:eastAsia="zh-CN"/>
        </w:rPr>
        <w:t xml:space="preserve"> </w:t>
      </w:r>
      <w:r w:rsidRPr="00056D15">
        <w:rPr>
          <w:rFonts w:asciiTheme="minorHAnsi" w:eastAsiaTheme="minorEastAsia" w:hAnsiTheme="minorHAnsi" w:cstheme="minorHAnsi"/>
          <w:noProof/>
          <w:lang w:eastAsia="zh-CN"/>
        </w:rPr>
        <w:t xml:space="preserve">14. </w:t>
      </w:r>
      <w:hyperlink r:id="rId35" w:history="1">
        <w:r w:rsidRPr="00056D15">
          <w:rPr>
            <w:rStyle w:val="Hyperlink"/>
            <w:rFonts w:asciiTheme="minorHAnsi" w:eastAsiaTheme="minorEastAsia" w:hAnsiTheme="minorHAnsi" w:cstheme="minorHAnsi"/>
            <w:noProof/>
            <w:lang w:eastAsia="zh-CN"/>
          </w:rPr>
          <w:t>https://doi.org/10.1186/s12912-019-0337-z</w:t>
        </w:r>
      </w:hyperlink>
      <w:r w:rsidRPr="00056D15">
        <w:rPr>
          <w:rFonts w:asciiTheme="minorHAnsi" w:eastAsiaTheme="minorEastAsia" w:hAnsiTheme="minorHAnsi" w:cstheme="minorHAnsi"/>
          <w:noProof/>
          <w:lang w:eastAsia="zh-CN"/>
        </w:rPr>
        <w:t xml:space="preserve"> </w:t>
      </w:r>
    </w:p>
    <w:p w14:paraId="6C0C1CFB" w14:textId="5051D9E7" w:rsidR="00136329" w:rsidRPr="00056D15" w:rsidRDefault="00136329" w:rsidP="001E366B">
      <w:pPr>
        <w:pStyle w:val="ListParagraph"/>
        <w:numPr>
          <w:ilvl w:val="0"/>
          <w:numId w:val="6"/>
        </w:numPr>
        <w:spacing w:after="120" w:line="360" w:lineRule="auto"/>
        <w:ind w:left="426" w:hanging="426"/>
        <w:contextualSpacing w:val="0"/>
        <w:rPr>
          <w:rFonts w:asciiTheme="minorHAnsi" w:eastAsiaTheme="minorEastAsia" w:hAnsiTheme="minorHAnsi" w:cstheme="minorHAnsi"/>
          <w:noProof/>
          <w:lang w:eastAsia="zh-CN"/>
        </w:rPr>
      </w:pPr>
      <w:r w:rsidRPr="00056D15">
        <w:rPr>
          <w:rFonts w:asciiTheme="minorHAnsi" w:eastAsiaTheme="minorEastAsia" w:hAnsiTheme="minorHAnsi" w:cstheme="minorHAnsi"/>
          <w:noProof/>
          <w:lang w:eastAsia="zh-CN"/>
        </w:rPr>
        <w:t xml:space="preserve">Australian Institute of Health and Welfare (AIHW) 2019. Rural &amp; remote health. Cat. no. PHE 255. Canberra: AIHW. Viewed 01 May 2020. Available: </w:t>
      </w:r>
      <w:hyperlink r:id="rId36" w:history="1">
        <w:r w:rsidR="008F1C21" w:rsidRPr="00056D15">
          <w:rPr>
            <w:rStyle w:val="Hyperlink"/>
            <w:rFonts w:asciiTheme="minorHAnsi" w:eastAsiaTheme="minorEastAsia" w:hAnsiTheme="minorHAnsi" w:cstheme="minorHAnsi"/>
            <w:noProof/>
            <w:lang w:eastAsia="zh-CN"/>
          </w:rPr>
          <w:t>https://www.aihw.gov.au/reports/rural-remote-australians/rural-remote-health/contents/summary</w:t>
        </w:r>
      </w:hyperlink>
      <w:r w:rsidR="008F1C21" w:rsidRPr="00056D15">
        <w:rPr>
          <w:rFonts w:asciiTheme="minorHAnsi" w:eastAsiaTheme="minorEastAsia" w:hAnsiTheme="minorHAnsi" w:cstheme="minorHAnsi"/>
          <w:noProof/>
          <w:lang w:eastAsia="zh-CN"/>
        </w:rPr>
        <w:t xml:space="preserve"> Accessed </w:t>
      </w:r>
      <w:r w:rsidR="00997985">
        <w:rPr>
          <w:rFonts w:asciiTheme="minorHAnsi" w:eastAsiaTheme="minorEastAsia" w:hAnsiTheme="minorHAnsi" w:cstheme="minorHAnsi"/>
          <w:noProof/>
          <w:lang w:eastAsia="zh-CN"/>
        </w:rPr>
        <w:t>30 August 2021</w:t>
      </w:r>
      <w:r w:rsidRPr="00056D15">
        <w:rPr>
          <w:rFonts w:asciiTheme="minorHAnsi" w:eastAsiaTheme="minorEastAsia" w:hAnsiTheme="minorHAnsi" w:cstheme="minorHAnsi"/>
          <w:noProof/>
          <w:lang w:eastAsia="zh-CN"/>
        </w:rPr>
        <w:t>.</w:t>
      </w:r>
    </w:p>
    <w:p w14:paraId="40999EC8" w14:textId="059161C2" w:rsidR="009E227B" w:rsidRPr="00056D15" w:rsidRDefault="009E227B" w:rsidP="001E366B">
      <w:pPr>
        <w:pStyle w:val="ListParagraph"/>
        <w:numPr>
          <w:ilvl w:val="0"/>
          <w:numId w:val="6"/>
        </w:numPr>
        <w:spacing w:after="120" w:line="360" w:lineRule="auto"/>
        <w:ind w:left="426" w:hanging="426"/>
        <w:contextualSpacing w:val="0"/>
        <w:rPr>
          <w:rFonts w:asciiTheme="minorHAnsi" w:eastAsiaTheme="minorEastAsia" w:hAnsiTheme="minorHAnsi" w:cstheme="minorHAnsi"/>
          <w:noProof/>
          <w:lang w:eastAsia="zh-CN"/>
        </w:rPr>
      </w:pPr>
      <w:r w:rsidRPr="00056D15">
        <w:rPr>
          <w:rFonts w:asciiTheme="minorHAnsi" w:eastAsiaTheme="minorEastAsia" w:hAnsiTheme="minorHAnsi" w:cstheme="minorHAnsi"/>
          <w:noProof/>
          <w:lang w:eastAsia="zh-CN"/>
        </w:rPr>
        <w:t>Alston L, Allender S, Peterson K, Jacobs J, Nichols M. Rural inequalities in the Australian burden of ischaemic heart disease: A systematic review. Heart Lung Circ 2017; 26: 122-133.</w:t>
      </w:r>
    </w:p>
    <w:p w14:paraId="5D7297F1" w14:textId="7A022C0B" w:rsidR="00136329" w:rsidRPr="00056D15" w:rsidRDefault="00136329" w:rsidP="001E366B">
      <w:pPr>
        <w:pStyle w:val="ListParagraph"/>
        <w:numPr>
          <w:ilvl w:val="0"/>
          <w:numId w:val="6"/>
        </w:numPr>
        <w:spacing w:after="120" w:line="360" w:lineRule="auto"/>
        <w:ind w:left="426" w:hanging="426"/>
        <w:contextualSpacing w:val="0"/>
        <w:rPr>
          <w:rFonts w:asciiTheme="minorHAnsi" w:eastAsiaTheme="minorEastAsia" w:hAnsiTheme="minorHAnsi" w:cstheme="minorHAnsi"/>
          <w:noProof/>
          <w:lang w:eastAsia="zh-CN"/>
        </w:rPr>
      </w:pPr>
      <w:r w:rsidRPr="00056D15">
        <w:rPr>
          <w:rFonts w:asciiTheme="minorHAnsi" w:eastAsiaTheme="minorEastAsia" w:hAnsiTheme="minorHAnsi" w:cstheme="minorHAnsi"/>
          <w:noProof/>
          <w:lang w:eastAsia="zh-CN"/>
        </w:rPr>
        <w:t xml:space="preserve">Elnaem MH, Rosley NFF, Alhifany AA, Elrggal ME, Cheema. Impact of pharmacist-led interventions on medication adherence and clinical outcomes in patients with hypertension and hyperlipidemia: A scoping review of published literature. </w:t>
      </w:r>
      <w:r w:rsidR="008F1C21" w:rsidRPr="00056D15">
        <w:rPr>
          <w:rFonts w:asciiTheme="minorHAnsi" w:eastAsiaTheme="minorEastAsia" w:hAnsiTheme="minorHAnsi" w:cstheme="minorHAnsi"/>
          <w:noProof/>
          <w:lang w:eastAsia="zh-CN"/>
        </w:rPr>
        <w:t>J Multidiscip Healthc 2020;</w:t>
      </w:r>
      <w:r w:rsidR="008142AF">
        <w:rPr>
          <w:rFonts w:asciiTheme="minorHAnsi" w:eastAsiaTheme="minorEastAsia" w:hAnsiTheme="minorHAnsi" w:cstheme="minorHAnsi"/>
          <w:noProof/>
          <w:lang w:eastAsia="zh-CN"/>
        </w:rPr>
        <w:t xml:space="preserve"> </w:t>
      </w:r>
      <w:r w:rsidR="008F1C21" w:rsidRPr="00056D15">
        <w:rPr>
          <w:rFonts w:asciiTheme="minorHAnsi" w:eastAsiaTheme="minorEastAsia" w:hAnsiTheme="minorHAnsi" w:cstheme="minorHAnsi"/>
          <w:noProof/>
          <w:lang w:eastAsia="zh-CN"/>
        </w:rPr>
        <w:t>13:</w:t>
      </w:r>
      <w:r w:rsidR="008142AF">
        <w:rPr>
          <w:rFonts w:asciiTheme="minorHAnsi" w:eastAsiaTheme="minorEastAsia" w:hAnsiTheme="minorHAnsi" w:cstheme="minorHAnsi"/>
          <w:noProof/>
          <w:lang w:eastAsia="zh-CN"/>
        </w:rPr>
        <w:t xml:space="preserve"> </w:t>
      </w:r>
      <w:r w:rsidRPr="00056D15">
        <w:rPr>
          <w:rFonts w:asciiTheme="minorHAnsi" w:eastAsiaTheme="minorEastAsia" w:hAnsiTheme="minorHAnsi" w:cstheme="minorHAnsi"/>
          <w:noProof/>
          <w:lang w:eastAsia="zh-CN"/>
        </w:rPr>
        <w:t>635-645.</w:t>
      </w:r>
    </w:p>
    <w:p w14:paraId="4F189655" w14:textId="00552F81" w:rsidR="009E227B" w:rsidRPr="00056D15" w:rsidRDefault="00574082" w:rsidP="001E366B">
      <w:pPr>
        <w:pStyle w:val="ListParagraph"/>
        <w:numPr>
          <w:ilvl w:val="0"/>
          <w:numId w:val="6"/>
        </w:numPr>
        <w:spacing w:after="120" w:line="360" w:lineRule="auto"/>
        <w:ind w:left="426" w:hanging="426"/>
        <w:contextualSpacing w:val="0"/>
        <w:rPr>
          <w:rFonts w:asciiTheme="minorHAnsi" w:eastAsiaTheme="minorEastAsia" w:hAnsiTheme="minorHAnsi" w:cstheme="minorHAnsi"/>
          <w:noProof/>
          <w:lang w:eastAsia="zh-CN"/>
        </w:rPr>
      </w:pPr>
      <w:r w:rsidRPr="00056D15">
        <w:rPr>
          <w:rFonts w:asciiTheme="minorHAnsi" w:eastAsiaTheme="minorEastAsia" w:hAnsiTheme="minorHAnsi" w:cstheme="minorHAnsi"/>
          <w:noProof/>
          <w:lang w:eastAsia="zh-CN"/>
        </w:rPr>
        <w:t xml:space="preserve">Rosenman R, Tennekoon V, Hill LG. Measuring bias in self-reported data. Int J Behav Healthc Res </w:t>
      </w:r>
      <w:r w:rsidR="008F1C21" w:rsidRPr="00056D15">
        <w:rPr>
          <w:rFonts w:asciiTheme="minorHAnsi" w:eastAsiaTheme="minorEastAsia" w:hAnsiTheme="minorHAnsi" w:cstheme="minorHAnsi"/>
          <w:noProof/>
          <w:lang w:eastAsia="zh-CN"/>
        </w:rPr>
        <w:t>2011;</w:t>
      </w:r>
      <w:r w:rsidR="008142AF">
        <w:rPr>
          <w:rFonts w:asciiTheme="minorHAnsi" w:eastAsiaTheme="minorEastAsia" w:hAnsiTheme="minorHAnsi" w:cstheme="minorHAnsi"/>
          <w:noProof/>
          <w:lang w:eastAsia="zh-CN"/>
        </w:rPr>
        <w:t xml:space="preserve"> </w:t>
      </w:r>
      <w:r w:rsidR="008F1C21" w:rsidRPr="00056D15">
        <w:rPr>
          <w:rFonts w:asciiTheme="minorHAnsi" w:eastAsiaTheme="minorEastAsia" w:hAnsiTheme="minorHAnsi" w:cstheme="minorHAnsi"/>
          <w:noProof/>
          <w:lang w:eastAsia="zh-CN"/>
        </w:rPr>
        <w:t>2(4):</w:t>
      </w:r>
      <w:r w:rsidR="008142AF">
        <w:rPr>
          <w:rFonts w:asciiTheme="minorHAnsi" w:eastAsiaTheme="minorEastAsia" w:hAnsiTheme="minorHAnsi" w:cstheme="minorHAnsi"/>
          <w:noProof/>
          <w:lang w:eastAsia="zh-CN"/>
        </w:rPr>
        <w:t xml:space="preserve"> </w:t>
      </w:r>
      <w:r w:rsidRPr="00056D15">
        <w:rPr>
          <w:rFonts w:asciiTheme="minorHAnsi" w:eastAsiaTheme="minorEastAsia" w:hAnsiTheme="minorHAnsi" w:cstheme="minorHAnsi"/>
          <w:noProof/>
          <w:lang w:eastAsia="zh-CN"/>
        </w:rPr>
        <w:t>320-332.</w:t>
      </w:r>
    </w:p>
    <w:p w14:paraId="28DFB522" w14:textId="2BA70825" w:rsidR="00A14F9B" w:rsidRPr="00056D15" w:rsidRDefault="00A14F9B" w:rsidP="00A14F9B">
      <w:pPr>
        <w:pStyle w:val="ListParagraph"/>
        <w:spacing w:after="120" w:line="360" w:lineRule="auto"/>
        <w:ind w:left="426"/>
        <w:contextualSpacing w:val="0"/>
        <w:rPr>
          <w:rFonts w:asciiTheme="minorHAnsi" w:eastAsiaTheme="minorEastAsia" w:hAnsiTheme="minorHAnsi" w:cstheme="minorHAnsi"/>
          <w:noProof/>
          <w:lang w:eastAsia="zh-CN"/>
        </w:rPr>
      </w:pPr>
    </w:p>
    <w:p w14:paraId="41F02B43" w14:textId="6E543BBF" w:rsidR="00A14F9B" w:rsidRDefault="00A14F9B" w:rsidP="00A14F9B">
      <w:pPr>
        <w:pStyle w:val="ListParagraph"/>
        <w:spacing w:after="120" w:line="360" w:lineRule="auto"/>
        <w:ind w:left="426"/>
        <w:contextualSpacing w:val="0"/>
        <w:rPr>
          <w:rFonts w:asciiTheme="minorHAnsi" w:eastAsiaTheme="minorEastAsia" w:hAnsiTheme="minorHAnsi" w:cstheme="minorHAnsi"/>
          <w:noProof/>
          <w:lang w:eastAsia="zh-CN"/>
        </w:rPr>
      </w:pPr>
    </w:p>
    <w:p w14:paraId="07556CC6" w14:textId="589D0E9F" w:rsidR="00A14F9B" w:rsidRDefault="00A14F9B" w:rsidP="00A14F9B">
      <w:pPr>
        <w:pStyle w:val="ListParagraph"/>
        <w:spacing w:after="120" w:line="360" w:lineRule="auto"/>
        <w:ind w:left="426"/>
        <w:contextualSpacing w:val="0"/>
        <w:rPr>
          <w:rFonts w:asciiTheme="minorHAnsi" w:eastAsiaTheme="minorEastAsia" w:hAnsiTheme="minorHAnsi" w:cstheme="minorHAnsi"/>
          <w:noProof/>
          <w:lang w:eastAsia="zh-CN"/>
        </w:rPr>
      </w:pPr>
    </w:p>
    <w:p w14:paraId="1C46D8E2" w14:textId="77777777" w:rsidR="00A14F9B" w:rsidRPr="001E366B" w:rsidRDefault="00A14F9B" w:rsidP="00A14F9B">
      <w:pPr>
        <w:pStyle w:val="ListParagraph"/>
        <w:spacing w:after="120" w:line="360" w:lineRule="auto"/>
        <w:ind w:left="426"/>
        <w:contextualSpacing w:val="0"/>
        <w:rPr>
          <w:rFonts w:asciiTheme="minorHAnsi" w:eastAsiaTheme="minorEastAsia" w:hAnsiTheme="minorHAnsi" w:cstheme="minorHAnsi"/>
          <w:noProof/>
          <w:lang w:eastAsia="zh-CN"/>
        </w:rPr>
      </w:pPr>
    </w:p>
    <w:p w14:paraId="472DDC45" w14:textId="1543D341" w:rsidR="00375BC0" w:rsidRDefault="00375BC0">
      <w:pPr>
        <w:rPr>
          <w:rFonts w:eastAsiaTheme="minorEastAsia" w:cstheme="minorHAnsi"/>
          <w:noProof/>
          <w:sz w:val="24"/>
          <w:szCs w:val="24"/>
          <w:lang w:eastAsia="zh-CN"/>
        </w:rPr>
      </w:pPr>
      <w:r>
        <w:rPr>
          <w:rFonts w:eastAsiaTheme="minorEastAsia" w:cstheme="minorHAnsi"/>
          <w:noProof/>
          <w:sz w:val="24"/>
          <w:szCs w:val="24"/>
          <w:lang w:eastAsia="zh-CN"/>
        </w:rPr>
        <w:br w:type="page"/>
      </w:r>
    </w:p>
    <w:p w14:paraId="6FECFC69" w14:textId="64311545" w:rsidR="005D5457" w:rsidRPr="005D5457" w:rsidRDefault="005D5457" w:rsidP="007539B9">
      <w:pPr>
        <w:rPr>
          <w:rFonts w:eastAsia="Times New Roman" w:cstheme="minorHAnsi"/>
          <w:lang w:eastAsia="en-AU"/>
        </w:rPr>
      </w:pPr>
    </w:p>
    <w:tbl>
      <w:tblPr>
        <w:tblStyle w:val="TableGrid1"/>
        <w:tblpPr w:leftFromText="180" w:rightFromText="180" w:vertAnchor="page" w:horzAnchor="margin" w:tblpY="1906"/>
        <w:tblW w:w="0" w:type="auto"/>
        <w:tblLook w:val="04A0" w:firstRow="1" w:lastRow="0" w:firstColumn="1" w:lastColumn="0" w:noHBand="0" w:noVBand="1"/>
      </w:tblPr>
      <w:tblGrid>
        <w:gridCol w:w="3969"/>
        <w:gridCol w:w="5047"/>
      </w:tblGrid>
      <w:tr w:rsidR="005D5457" w:rsidRPr="005D5457" w14:paraId="10DB8F53" w14:textId="77777777" w:rsidTr="00F8399F">
        <w:tc>
          <w:tcPr>
            <w:tcW w:w="9016" w:type="dxa"/>
            <w:gridSpan w:val="2"/>
            <w:tcBorders>
              <w:top w:val="nil"/>
              <w:left w:val="nil"/>
              <w:bottom w:val="single" w:sz="4" w:space="0" w:color="auto"/>
              <w:right w:val="nil"/>
            </w:tcBorders>
          </w:tcPr>
          <w:p w14:paraId="719C3649" w14:textId="71270C85" w:rsidR="005D5457" w:rsidRPr="005D5457" w:rsidRDefault="007539B9" w:rsidP="005D5457">
            <w:pPr>
              <w:spacing w:after="80"/>
              <w:rPr>
                <w:b/>
              </w:rPr>
            </w:pPr>
            <w:r w:rsidRPr="000B393F">
              <w:rPr>
                <w:b/>
                <w:sz w:val="24"/>
                <w:szCs w:val="24"/>
              </w:rPr>
              <w:t xml:space="preserve">Table 1: </w:t>
            </w:r>
            <w:r w:rsidRPr="000B393F">
              <w:rPr>
                <w:sz w:val="24"/>
                <w:szCs w:val="24"/>
              </w:rPr>
              <w:t>List of the survey questions and possible responses.</w:t>
            </w:r>
          </w:p>
        </w:tc>
      </w:tr>
      <w:tr w:rsidR="005D5457" w:rsidRPr="005D5457" w14:paraId="091B78BB" w14:textId="77777777" w:rsidTr="00F8399F">
        <w:tc>
          <w:tcPr>
            <w:tcW w:w="3969" w:type="dxa"/>
            <w:tcBorders>
              <w:left w:val="nil"/>
              <w:bottom w:val="single" w:sz="4" w:space="0" w:color="auto"/>
              <w:right w:val="nil"/>
            </w:tcBorders>
          </w:tcPr>
          <w:p w14:paraId="52161FEB" w14:textId="77777777" w:rsidR="005D5457" w:rsidRPr="005D5457" w:rsidRDefault="005D5457" w:rsidP="005D5457">
            <w:pPr>
              <w:spacing w:before="80" w:after="80"/>
              <w:rPr>
                <w:b/>
                <w:sz w:val="24"/>
                <w:szCs w:val="24"/>
              </w:rPr>
            </w:pPr>
            <w:r w:rsidRPr="005D5457">
              <w:rPr>
                <w:b/>
                <w:sz w:val="24"/>
                <w:szCs w:val="24"/>
              </w:rPr>
              <w:t>Questions</w:t>
            </w:r>
          </w:p>
        </w:tc>
        <w:tc>
          <w:tcPr>
            <w:tcW w:w="5047" w:type="dxa"/>
            <w:tcBorders>
              <w:left w:val="nil"/>
              <w:bottom w:val="single" w:sz="4" w:space="0" w:color="auto"/>
              <w:right w:val="nil"/>
            </w:tcBorders>
          </w:tcPr>
          <w:p w14:paraId="35D36020" w14:textId="77777777" w:rsidR="005D5457" w:rsidRPr="005D5457" w:rsidRDefault="005D5457" w:rsidP="005D5457">
            <w:pPr>
              <w:spacing w:before="80" w:after="80"/>
              <w:rPr>
                <w:b/>
                <w:sz w:val="24"/>
                <w:szCs w:val="24"/>
              </w:rPr>
            </w:pPr>
            <w:r w:rsidRPr="005D5457">
              <w:rPr>
                <w:b/>
                <w:sz w:val="24"/>
                <w:szCs w:val="24"/>
              </w:rPr>
              <w:t>Possible Responses</w:t>
            </w:r>
          </w:p>
        </w:tc>
      </w:tr>
      <w:tr w:rsidR="005D5457" w:rsidRPr="005D5457" w14:paraId="4A1CC3D7" w14:textId="77777777" w:rsidTr="00F8399F">
        <w:tc>
          <w:tcPr>
            <w:tcW w:w="3969" w:type="dxa"/>
            <w:tcBorders>
              <w:left w:val="nil"/>
              <w:bottom w:val="single" w:sz="4" w:space="0" w:color="auto"/>
              <w:right w:val="nil"/>
            </w:tcBorders>
          </w:tcPr>
          <w:p w14:paraId="7DF34DE2"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bCs/>
                <w:color w:val="000000"/>
                <w:sz w:val="20"/>
                <w:szCs w:val="20"/>
              </w:rPr>
              <w:t xml:space="preserve">Current professional role (predominantly) </w:t>
            </w:r>
          </w:p>
        </w:tc>
        <w:tc>
          <w:tcPr>
            <w:tcW w:w="5047" w:type="dxa"/>
            <w:tcBorders>
              <w:left w:val="nil"/>
              <w:bottom w:val="single" w:sz="4" w:space="0" w:color="auto"/>
              <w:right w:val="nil"/>
            </w:tcBorders>
          </w:tcPr>
          <w:p w14:paraId="79FFE0E4"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 xml:space="preserve">Community pharmacist/ Hospital Pharmacist/ </w:t>
            </w:r>
          </w:p>
          <w:p w14:paraId="68638C87"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 xml:space="preserve">Accredited Pharmacist/ Non-practising owner/ </w:t>
            </w:r>
          </w:p>
          <w:p w14:paraId="4E130111"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Owner Manager/ Managing Pharmacist/ Other (free text)</w:t>
            </w:r>
          </w:p>
        </w:tc>
      </w:tr>
      <w:tr w:rsidR="005D5457" w:rsidRPr="005D5457" w14:paraId="51AB9CE8" w14:textId="77777777" w:rsidTr="00F8399F">
        <w:tc>
          <w:tcPr>
            <w:tcW w:w="3969" w:type="dxa"/>
            <w:tcBorders>
              <w:left w:val="nil"/>
              <w:bottom w:val="single" w:sz="4" w:space="0" w:color="auto"/>
              <w:right w:val="nil"/>
            </w:tcBorders>
          </w:tcPr>
          <w:p w14:paraId="4C91E0B4"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bCs/>
                <w:color w:val="000000"/>
                <w:sz w:val="20"/>
                <w:szCs w:val="20"/>
              </w:rPr>
              <w:t xml:space="preserve">Gender </w:t>
            </w:r>
          </w:p>
        </w:tc>
        <w:tc>
          <w:tcPr>
            <w:tcW w:w="5047" w:type="dxa"/>
            <w:tcBorders>
              <w:left w:val="nil"/>
              <w:bottom w:val="single" w:sz="4" w:space="0" w:color="auto"/>
              <w:right w:val="nil"/>
            </w:tcBorders>
          </w:tcPr>
          <w:p w14:paraId="13662BD1"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Female/ Male/ Not specified</w:t>
            </w:r>
          </w:p>
        </w:tc>
      </w:tr>
      <w:tr w:rsidR="005D5457" w:rsidRPr="005D5457" w14:paraId="120D9557" w14:textId="77777777" w:rsidTr="00F8399F">
        <w:tc>
          <w:tcPr>
            <w:tcW w:w="3969" w:type="dxa"/>
            <w:tcBorders>
              <w:left w:val="nil"/>
              <w:bottom w:val="single" w:sz="4" w:space="0" w:color="auto"/>
              <w:right w:val="nil"/>
            </w:tcBorders>
          </w:tcPr>
          <w:p w14:paraId="3FAF6206"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bCs/>
                <w:color w:val="000000"/>
                <w:sz w:val="20"/>
                <w:szCs w:val="20"/>
              </w:rPr>
              <w:t xml:space="preserve">Your age group </w:t>
            </w:r>
          </w:p>
        </w:tc>
        <w:tc>
          <w:tcPr>
            <w:tcW w:w="5047" w:type="dxa"/>
            <w:tcBorders>
              <w:left w:val="nil"/>
              <w:bottom w:val="single" w:sz="4" w:space="0" w:color="auto"/>
              <w:right w:val="nil"/>
            </w:tcBorders>
          </w:tcPr>
          <w:p w14:paraId="46504FAE" w14:textId="77777777" w:rsidR="005D5457" w:rsidRPr="005D5457" w:rsidRDefault="005D5457" w:rsidP="005D5457">
            <w:pPr>
              <w:rPr>
                <w:rFonts w:cstheme="minorHAnsi"/>
                <w:sz w:val="20"/>
                <w:szCs w:val="20"/>
              </w:rPr>
            </w:pPr>
            <w:proofErr w:type="gramStart"/>
            <w:r w:rsidRPr="005D5457">
              <w:rPr>
                <w:rFonts w:cstheme="minorHAnsi"/>
                <w:sz w:val="20"/>
                <w:szCs w:val="20"/>
              </w:rPr>
              <w:t>Five year</w:t>
            </w:r>
            <w:proofErr w:type="gramEnd"/>
            <w:r w:rsidRPr="005D5457">
              <w:rPr>
                <w:rFonts w:cstheme="minorHAnsi"/>
                <w:sz w:val="20"/>
                <w:szCs w:val="20"/>
              </w:rPr>
              <w:t xml:space="preserve"> categories from &lt; 25 years to &gt; 70 years</w:t>
            </w:r>
          </w:p>
        </w:tc>
      </w:tr>
      <w:tr w:rsidR="005D5457" w:rsidRPr="005D5457" w14:paraId="0491B6DD" w14:textId="77777777" w:rsidTr="00F8399F">
        <w:tc>
          <w:tcPr>
            <w:tcW w:w="3969" w:type="dxa"/>
            <w:tcBorders>
              <w:left w:val="nil"/>
              <w:bottom w:val="single" w:sz="4" w:space="0" w:color="auto"/>
              <w:right w:val="nil"/>
            </w:tcBorders>
          </w:tcPr>
          <w:p w14:paraId="2E26D6E4"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bCs/>
                <w:color w:val="000000"/>
                <w:sz w:val="20"/>
                <w:szCs w:val="20"/>
              </w:rPr>
              <w:t xml:space="preserve">Do you see yourself retiring from the profession in the next 5 years? </w:t>
            </w:r>
          </w:p>
        </w:tc>
        <w:tc>
          <w:tcPr>
            <w:tcW w:w="5047" w:type="dxa"/>
            <w:tcBorders>
              <w:left w:val="nil"/>
              <w:bottom w:val="single" w:sz="4" w:space="0" w:color="auto"/>
              <w:right w:val="nil"/>
            </w:tcBorders>
          </w:tcPr>
          <w:p w14:paraId="230EA9B8"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Yes/ No/ Unsure</w:t>
            </w:r>
          </w:p>
        </w:tc>
      </w:tr>
      <w:tr w:rsidR="005D5457" w:rsidRPr="005D5457" w14:paraId="3730B978" w14:textId="77777777" w:rsidTr="00F8399F">
        <w:tc>
          <w:tcPr>
            <w:tcW w:w="3969" w:type="dxa"/>
            <w:tcBorders>
              <w:left w:val="nil"/>
              <w:bottom w:val="single" w:sz="4" w:space="0" w:color="auto"/>
              <w:right w:val="nil"/>
            </w:tcBorders>
          </w:tcPr>
          <w:p w14:paraId="6520E68B"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bCs/>
                <w:color w:val="000000"/>
                <w:sz w:val="20"/>
                <w:szCs w:val="20"/>
              </w:rPr>
              <w:t xml:space="preserve">Current employment status </w:t>
            </w:r>
          </w:p>
          <w:p w14:paraId="3A394D6B" w14:textId="77777777" w:rsidR="005D5457" w:rsidRPr="005D5457" w:rsidRDefault="005D5457" w:rsidP="005D5457">
            <w:pPr>
              <w:rPr>
                <w:rFonts w:cstheme="minorHAnsi"/>
                <w:sz w:val="20"/>
                <w:szCs w:val="20"/>
              </w:rPr>
            </w:pPr>
          </w:p>
        </w:tc>
        <w:tc>
          <w:tcPr>
            <w:tcW w:w="5047" w:type="dxa"/>
            <w:tcBorders>
              <w:left w:val="nil"/>
              <w:bottom w:val="single" w:sz="4" w:space="0" w:color="auto"/>
              <w:right w:val="nil"/>
            </w:tcBorders>
          </w:tcPr>
          <w:p w14:paraId="435BE36E"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Full-time/ Part-time/ Casual/ Intern or provisional pharmacist/ Other (free text)</w:t>
            </w:r>
          </w:p>
        </w:tc>
      </w:tr>
      <w:tr w:rsidR="005D5457" w:rsidRPr="005D5457" w14:paraId="202F8F4B" w14:textId="77777777" w:rsidTr="00F8399F">
        <w:tc>
          <w:tcPr>
            <w:tcW w:w="3969" w:type="dxa"/>
            <w:tcBorders>
              <w:left w:val="nil"/>
              <w:bottom w:val="single" w:sz="4" w:space="0" w:color="auto"/>
              <w:right w:val="nil"/>
            </w:tcBorders>
          </w:tcPr>
          <w:p w14:paraId="63480782"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bCs/>
                <w:color w:val="000000"/>
                <w:sz w:val="20"/>
                <w:szCs w:val="20"/>
              </w:rPr>
              <w:t xml:space="preserve">Average hours worked as the pharmacist on duty per week </w:t>
            </w:r>
          </w:p>
        </w:tc>
        <w:tc>
          <w:tcPr>
            <w:tcW w:w="5047" w:type="dxa"/>
            <w:tcBorders>
              <w:left w:val="nil"/>
              <w:bottom w:val="single" w:sz="4" w:space="0" w:color="auto"/>
              <w:right w:val="nil"/>
            </w:tcBorders>
          </w:tcPr>
          <w:p w14:paraId="5D54FB0A" w14:textId="77777777" w:rsidR="005D5457" w:rsidRPr="005D5457" w:rsidRDefault="005D5457" w:rsidP="005D5457">
            <w:pPr>
              <w:rPr>
                <w:rFonts w:cstheme="minorHAnsi"/>
                <w:sz w:val="20"/>
                <w:szCs w:val="20"/>
              </w:rPr>
            </w:pPr>
            <w:r w:rsidRPr="005D5457">
              <w:rPr>
                <w:rFonts w:cstheme="minorHAnsi"/>
                <w:sz w:val="20"/>
                <w:szCs w:val="20"/>
              </w:rPr>
              <w:t>Numerical whole number</w:t>
            </w:r>
          </w:p>
        </w:tc>
      </w:tr>
      <w:tr w:rsidR="005D5457" w:rsidRPr="005D5457" w14:paraId="6D94F06A" w14:textId="77777777" w:rsidTr="00F8399F">
        <w:tc>
          <w:tcPr>
            <w:tcW w:w="3969" w:type="dxa"/>
            <w:tcBorders>
              <w:left w:val="nil"/>
              <w:bottom w:val="single" w:sz="4" w:space="0" w:color="auto"/>
              <w:right w:val="nil"/>
            </w:tcBorders>
          </w:tcPr>
          <w:p w14:paraId="5B98EFDC"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bCs/>
                <w:color w:val="000000"/>
                <w:sz w:val="20"/>
                <w:szCs w:val="20"/>
              </w:rPr>
              <w:t xml:space="preserve">Does your place of employment supervise pharmacy </w:t>
            </w:r>
            <w:r w:rsidRPr="005D5457">
              <w:rPr>
                <w:rFonts w:cstheme="minorHAnsi"/>
                <w:bCs/>
                <w:iCs/>
                <w:color w:val="000000"/>
                <w:sz w:val="20"/>
                <w:szCs w:val="20"/>
              </w:rPr>
              <w:t xml:space="preserve">students </w:t>
            </w:r>
            <w:r w:rsidRPr="005D5457">
              <w:rPr>
                <w:rFonts w:cstheme="minorHAnsi"/>
                <w:bCs/>
                <w:color w:val="000000"/>
                <w:sz w:val="20"/>
                <w:szCs w:val="20"/>
              </w:rPr>
              <w:t xml:space="preserve">during their placement period? </w:t>
            </w:r>
          </w:p>
        </w:tc>
        <w:tc>
          <w:tcPr>
            <w:tcW w:w="5047" w:type="dxa"/>
            <w:tcBorders>
              <w:left w:val="nil"/>
              <w:bottom w:val="single" w:sz="4" w:space="0" w:color="auto"/>
              <w:right w:val="nil"/>
            </w:tcBorders>
          </w:tcPr>
          <w:p w14:paraId="1536ACEE"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Yes/ No/ No, but I would be interested</w:t>
            </w:r>
          </w:p>
        </w:tc>
      </w:tr>
      <w:tr w:rsidR="005D5457" w:rsidRPr="005D5457" w14:paraId="5193021D" w14:textId="77777777" w:rsidTr="00F8399F">
        <w:tc>
          <w:tcPr>
            <w:tcW w:w="3969" w:type="dxa"/>
            <w:tcBorders>
              <w:left w:val="nil"/>
              <w:bottom w:val="single" w:sz="4" w:space="0" w:color="auto"/>
              <w:right w:val="nil"/>
            </w:tcBorders>
          </w:tcPr>
          <w:p w14:paraId="05D7F711"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bCs/>
                <w:color w:val="000000"/>
                <w:sz w:val="20"/>
                <w:szCs w:val="20"/>
              </w:rPr>
              <w:t xml:space="preserve">Do you supervise pharmacy </w:t>
            </w:r>
            <w:r w:rsidRPr="005D5457">
              <w:rPr>
                <w:rFonts w:cstheme="minorHAnsi"/>
                <w:bCs/>
                <w:iCs/>
                <w:color w:val="000000"/>
                <w:sz w:val="20"/>
                <w:szCs w:val="20"/>
              </w:rPr>
              <w:t xml:space="preserve">students </w:t>
            </w:r>
            <w:r w:rsidRPr="005D5457">
              <w:rPr>
                <w:rFonts w:cstheme="minorHAnsi"/>
                <w:bCs/>
                <w:color w:val="000000"/>
                <w:sz w:val="20"/>
                <w:szCs w:val="20"/>
              </w:rPr>
              <w:t xml:space="preserve">during their placement periods? </w:t>
            </w:r>
          </w:p>
        </w:tc>
        <w:tc>
          <w:tcPr>
            <w:tcW w:w="5047" w:type="dxa"/>
            <w:tcBorders>
              <w:left w:val="nil"/>
              <w:bottom w:val="single" w:sz="4" w:space="0" w:color="auto"/>
              <w:right w:val="nil"/>
            </w:tcBorders>
          </w:tcPr>
          <w:p w14:paraId="492DF1A9"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 xml:space="preserve">Yes/ No/ No, but I would be interested </w:t>
            </w:r>
          </w:p>
          <w:p w14:paraId="029CB9DD" w14:textId="77777777" w:rsidR="005D5457" w:rsidRPr="005D5457" w:rsidRDefault="005D5457" w:rsidP="005D5457">
            <w:pPr>
              <w:rPr>
                <w:rFonts w:cstheme="minorHAnsi"/>
                <w:sz w:val="20"/>
                <w:szCs w:val="20"/>
              </w:rPr>
            </w:pPr>
            <w:r w:rsidRPr="005D5457">
              <w:rPr>
                <w:rFonts w:cstheme="minorHAnsi"/>
                <w:sz w:val="20"/>
                <w:szCs w:val="20"/>
              </w:rPr>
              <w:t>(+ optional comment)</w:t>
            </w:r>
          </w:p>
        </w:tc>
      </w:tr>
      <w:tr w:rsidR="005D5457" w:rsidRPr="005D5457" w14:paraId="06721C75" w14:textId="77777777" w:rsidTr="00F8399F">
        <w:tc>
          <w:tcPr>
            <w:tcW w:w="3969" w:type="dxa"/>
            <w:tcBorders>
              <w:left w:val="nil"/>
              <w:bottom w:val="single" w:sz="4" w:space="0" w:color="auto"/>
              <w:right w:val="nil"/>
            </w:tcBorders>
          </w:tcPr>
          <w:p w14:paraId="0FC50089"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bCs/>
                <w:color w:val="000000"/>
                <w:sz w:val="20"/>
                <w:szCs w:val="20"/>
              </w:rPr>
              <w:t xml:space="preserve">Does your place of employment supervise intern/provisional pharmacist(s) during their placement period? </w:t>
            </w:r>
          </w:p>
        </w:tc>
        <w:tc>
          <w:tcPr>
            <w:tcW w:w="5047" w:type="dxa"/>
            <w:tcBorders>
              <w:left w:val="nil"/>
              <w:bottom w:val="single" w:sz="4" w:space="0" w:color="auto"/>
              <w:right w:val="nil"/>
            </w:tcBorders>
          </w:tcPr>
          <w:p w14:paraId="13B244C4"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 xml:space="preserve">Yes/ No/ No, but I would be interested </w:t>
            </w:r>
          </w:p>
          <w:p w14:paraId="3904C123" w14:textId="77777777" w:rsidR="005D5457" w:rsidRPr="005D5457" w:rsidRDefault="005D5457" w:rsidP="005D5457">
            <w:pPr>
              <w:rPr>
                <w:rFonts w:cstheme="minorHAnsi"/>
                <w:sz w:val="20"/>
                <w:szCs w:val="20"/>
              </w:rPr>
            </w:pPr>
            <w:r w:rsidRPr="005D5457">
              <w:rPr>
                <w:rFonts w:cstheme="minorHAnsi"/>
                <w:sz w:val="20"/>
                <w:szCs w:val="20"/>
              </w:rPr>
              <w:t>(+ optional free text comment)</w:t>
            </w:r>
          </w:p>
        </w:tc>
      </w:tr>
      <w:tr w:rsidR="005D5457" w:rsidRPr="005D5457" w14:paraId="6B1E43CE" w14:textId="77777777" w:rsidTr="00F8399F">
        <w:tc>
          <w:tcPr>
            <w:tcW w:w="3969" w:type="dxa"/>
            <w:tcBorders>
              <w:left w:val="nil"/>
              <w:bottom w:val="single" w:sz="4" w:space="0" w:color="auto"/>
              <w:right w:val="nil"/>
            </w:tcBorders>
          </w:tcPr>
          <w:p w14:paraId="62BA6595"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bCs/>
                <w:color w:val="000000"/>
                <w:sz w:val="20"/>
                <w:szCs w:val="20"/>
              </w:rPr>
              <w:t xml:space="preserve">Do you personally supervise </w:t>
            </w:r>
            <w:r w:rsidRPr="005D5457">
              <w:rPr>
                <w:rFonts w:cstheme="minorHAnsi"/>
                <w:bCs/>
                <w:iCs/>
                <w:color w:val="000000"/>
                <w:sz w:val="20"/>
                <w:szCs w:val="20"/>
              </w:rPr>
              <w:t>intern/provisional</w:t>
            </w:r>
            <w:r w:rsidRPr="005D5457">
              <w:rPr>
                <w:rFonts w:cstheme="minorHAnsi"/>
                <w:bCs/>
                <w:i/>
                <w:iCs/>
                <w:color w:val="000000"/>
                <w:sz w:val="20"/>
                <w:szCs w:val="20"/>
              </w:rPr>
              <w:t xml:space="preserve"> </w:t>
            </w:r>
            <w:r w:rsidRPr="005D5457">
              <w:rPr>
                <w:rFonts w:cstheme="minorHAnsi"/>
                <w:bCs/>
                <w:color w:val="000000"/>
                <w:sz w:val="20"/>
                <w:szCs w:val="20"/>
              </w:rPr>
              <w:t xml:space="preserve">pharmacist(s)? </w:t>
            </w:r>
          </w:p>
        </w:tc>
        <w:tc>
          <w:tcPr>
            <w:tcW w:w="5047" w:type="dxa"/>
            <w:tcBorders>
              <w:left w:val="nil"/>
              <w:bottom w:val="single" w:sz="4" w:space="0" w:color="auto"/>
              <w:right w:val="nil"/>
            </w:tcBorders>
          </w:tcPr>
          <w:p w14:paraId="23D7DDFF"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Yes, annually/ Yes, but not currently/</w:t>
            </w:r>
          </w:p>
          <w:p w14:paraId="2B6C4373"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 xml:space="preserve">No/ No, but I would be interested </w:t>
            </w:r>
          </w:p>
          <w:p w14:paraId="73645503" w14:textId="77777777" w:rsidR="005D5457" w:rsidRPr="005D5457" w:rsidRDefault="005D5457" w:rsidP="005D5457">
            <w:pPr>
              <w:rPr>
                <w:rFonts w:cstheme="minorHAnsi"/>
                <w:sz w:val="20"/>
                <w:szCs w:val="20"/>
              </w:rPr>
            </w:pPr>
            <w:r w:rsidRPr="005D5457">
              <w:rPr>
                <w:rFonts w:cstheme="minorHAnsi"/>
                <w:sz w:val="20"/>
                <w:szCs w:val="20"/>
              </w:rPr>
              <w:t>(+ optional free text comment)</w:t>
            </w:r>
          </w:p>
        </w:tc>
      </w:tr>
      <w:tr w:rsidR="005D5457" w:rsidRPr="005D5457" w14:paraId="3E3B08EC" w14:textId="77777777" w:rsidTr="00F8399F">
        <w:tc>
          <w:tcPr>
            <w:tcW w:w="3969" w:type="dxa"/>
            <w:tcBorders>
              <w:left w:val="nil"/>
              <w:bottom w:val="single" w:sz="4" w:space="0" w:color="auto"/>
              <w:right w:val="nil"/>
            </w:tcBorders>
          </w:tcPr>
          <w:p w14:paraId="031C2F73"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b/>
                <w:bCs/>
                <w:color w:val="000000"/>
                <w:sz w:val="20"/>
                <w:szCs w:val="20"/>
              </w:rPr>
              <w:t xml:space="preserve">Number of Pharmacists employed within your workplace (including yourself)? </w:t>
            </w:r>
          </w:p>
        </w:tc>
        <w:tc>
          <w:tcPr>
            <w:tcW w:w="5047" w:type="dxa"/>
            <w:tcBorders>
              <w:left w:val="nil"/>
              <w:bottom w:val="single" w:sz="4" w:space="0" w:color="auto"/>
              <w:right w:val="nil"/>
            </w:tcBorders>
          </w:tcPr>
          <w:p w14:paraId="6B54FAC2"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Full-time = (whole number)</w:t>
            </w:r>
          </w:p>
          <w:p w14:paraId="3624D639"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Part-time = (whole number)</w:t>
            </w:r>
          </w:p>
        </w:tc>
      </w:tr>
      <w:tr w:rsidR="005D5457" w:rsidRPr="005D5457" w14:paraId="244AC881" w14:textId="77777777" w:rsidTr="00F8399F">
        <w:tc>
          <w:tcPr>
            <w:tcW w:w="3969" w:type="dxa"/>
            <w:tcBorders>
              <w:left w:val="nil"/>
              <w:bottom w:val="single" w:sz="4" w:space="0" w:color="auto"/>
              <w:right w:val="nil"/>
            </w:tcBorders>
          </w:tcPr>
          <w:p w14:paraId="79D212C2"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bCs/>
                <w:color w:val="000000"/>
                <w:sz w:val="20"/>
                <w:szCs w:val="20"/>
              </w:rPr>
              <w:t xml:space="preserve">Do you feel current pharmacist staffing levels are adequate at your place of employment? </w:t>
            </w:r>
          </w:p>
        </w:tc>
        <w:tc>
          <w:tcPr>
            <w:tcW w:w="5047" w:type="dxa"/>
            <w:tcBorders>
              <w:left w:val="nil"/>
              <w:bottom w:val="single" w:sz="4" w:space="0" w:color="auto"/>
              <w:right w:val="nil"/>
            </w:tcBorders>
          </w:tcPr>
          <w:p w14:paraId="0B269231"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Yes/</w:t>
            </w:r>
          </w:p>
          <w:p w14:paraId="61C32310"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No, I would like to see an increase in pharmacist numbers/</w:t>
            </w:r>
          </w:p>
          <w:p w14:paraId="1624FEAC"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No, I would like to see an increase in current pharmacist hours/ Other (free text)</w:t>
            </w:r>
          </w:p>
        </w:tc>
      </w:tr>
      <w:tr w:rsidR="005D5457" w:rsidRPr="005D5457" w14:paraId="08461F16" w14:textId="77777777" w:rsidTr="00F8399F">
        <w:tc>
          <w:tcPr>
            <w:tcW w:w="3969" w:type="dxa"/>
            <w:tcBorders>
              <w:left w:val="nil"/>
              <w:bottom w:val="single" w:sz="4" w:space="0" w:color="auto"/>
              <w:right w:val="nil"/>
            </w:tcBorders>
          </w:tcPr>
          <w:p w14:paraId="63FAC34B"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bCs/>
                <w:color w:val="000000"/>
                <w:sz w:val="20"/>
                <w:szCs w:val="20"/>
              </w:rPr>
              <w:t>Scope of practice – Please select from the list below professional services offered in your place of employment (see Table 3)</w:t>
            </w:r>
          </w:p>
        </w:tc>
        <w:tc>
          <w:tcPr>
            <w:tcW w:w="5047" w:type="dxa"/>
            <w:tcBorders>
              <w:left w:val="nil"/>
              <w:bottom w:val="single" w:sz="4" w:space="0" w:color="auto"/>
              <w:right w:val="nil"/>
            </w:tcBorders>
          </w:tcPr>
          <w:p w14:paraId="26230A8F" w14:textId="77777777" w:rsidR="005D5457" w:rsidRPr="005D5457" w:rsidRDefault="005D5457" w:rsidP="005D5457">
            <w:pPr>
              <w:autoSpaceDE w:val="0"/>
              <w:autoSpaceDN w:val="0"/>
              <w:adjustRightInd w:val="0"/>
              <w:rPr>
                <w:rFonts w:cstheme="minorHAnsi"/>
                <w:bCs/>
                <w:color w:val="000000"/>
                <w:sz w:val="20"/>
                <w:szCs w:val="20"/>
              </w:rPr>
            </w:pPr>
            <w:r w:rsidRPr="005D5457">
              <w:rPr>
                <w:rFonts w:cstheme="minorHAnsi"/>
                <w:bCs/>
                <w:color w:val="000000"/>
                <w:sz w:val="20"/>
                <w:szCs w:val="20"/>
              </w:rPr>
              <w:t>Range of categorical options + other, either:</w:t>
            </w:r>
          </w:p>
          <w:p w14:paraId="2958E286" w14:textId="77777777" w:rsidR="005D5457" w:rsidRPr="005D5457" w:rsidRDefault="005D5457" w:rsidP="005D5457">
            <w:pPr>
              <w:numPr>
                <w:ilvl w:val="0"/>
                <w:numId w:val="5"/>
              </w:numPr>
              <w:autoSpaceDE w:val="0"/>
              <w:autoSpaceDN w:val="0"/>
              <w:adjustRightInd w:val="0"/>
              <w:ind w:left="181" w:hanging="181"/>
              <w:rPr>
                <w:rFonts w:cstheme="minorHAnsi"/>
                <w:color w:val="000000"/>
                <w:sz w:val="20"/>
                <w:szCs w:val="20"/>
              </w:rPr>
            </w:pPr>
            <w:r w:rsidRPr="005D5457">
              <w:rPr>
                <w:rFonts w:cstheme="minorHAnsi"/>
                <w:bCs/>
                <w:color w:val="000000"/>
                <w:sz w:val="20"/>
                <w:szCs w:val="20"/>
              </w:rPr>
              <w:t xml:space="preserve">Delivered by Pharmacists/ trained pharmacy staff, or </w:t>
            </w:r>
          </w:p>
          <w:p w14:paraId="51F6E899" w14:textId="77777777" w:rsidR="005D5457" w:rsidRPr="005D5457" w:rsidRDefault="005D5457" w:rsidP="005D5457">
            <w:pPr>
              <w:numPr>
                <w:ilvl w:val="0"/>
                <w:numId w:val="5"/>
              </w:numPr>
              <w:ind w:left="181" w:hanging="181"/>
              <w:contextualSpacing/>
              <w:rPr>
                <w:rFonts w:cstheme="minorHAnsi"/>
                <w:sz w:val="20"/>
                <w:szCs w:val="20"/>
              </w:rPr>
            </w:pPr>
            <w:r w:rsidRPr="005D5457">
              <w:rPr>
                <w:rFonts w:cstheme="minorHAnsi"/>
                <w:sz w:val="20"/>
                <w:szCs w:val="20"/>
              </w:rPr>
              <w:t>Delivered by external providers</w:t>
            </w:r>
          </w:p>
        </w:tc>
      </w:tr>
      <w:tr w:rsidR="005D5457" w:rsidRPr="005D5457" w14:paraId="32E96317" w14:textId="77777777" w:rsidTr="00F8399F">
        <w:tc>
          <w:tcPr>
            <w:tcW w:w="3969" w:type="dxa"/>
            <w:tcBorders>
              <w:left w:val="nil"/>
              <w:bottom w:val="single" w:sz="4" w:space="0" w:color="auto"/>
              <w:right w:val="nil"/>
            </w:tcBorders>
          </w:tcPr>
          <w:p w14:paraId="052338E2" w14:textId="77777777" w:rsidR="005D5457" w:rsidRPr="005D5457" w:rsidRDefault="005D5457" w:rsidP="005D5457">
            <w:pPr>
              <w:rPr>
                <w:rFonts w:cstheme="minorHAnsi"/>
                <w:sz w:val="20"/>
                <w:szCs w:val="20"/>
              </w:rPr>
            </w:pPr>
            <w:r w:rsidRPr="005D5457">
              <w:rPr>
                <w:rFonts w:cstheme="minorHAnsi"/>
                <w:sz w:val="20"/>
                <w:szCs w:val="20"/>
              </w:rPr>
              <w:t>Do you have any additional qualifications or accreditations relevant to your Pharmacy Practice?</w:t>
            </w:r>
          </w:p>
        </w:tc>
        <w:tc>
          <w:tcPr>
            <w:tcW w:w="5047" w:type="dxa"/>
            <w:tcBorders>
              <w:left w:val="nil"/>
              <w:bottom w:val="single" w:sz="4" w:space="0" w:color="auto"/>
              <w:right w:val="nil"/>
            </w:tcBorders>
          </w:tcPr>
          <w:p w14:paraId="3349D7D2"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Accredited Pharmacist/ Accredited Pharmacist Immuniser/ Diabetes Educator/ Other (free text)</w:t>
            </w:r>
          </w:p>
        </w:tc>
      </w:tr>
      <w:tr w:rsidR="005D5457" w:rsidRPr="005D5457" w14:paraId="703DF257" w14:textId="77777777" w:rsidTr="00F8399F">
        <w:tc>
          <w:tcPr>
            <w:tcW w:w="3969" w:type="dxa"/>
            <w:tcBorders>
              <w:left w:val="nil"/>
              <w:bottom w:val="single" w:sz="4" w:space="0" w:color="auto"/>
              <w:right w:val="nil"/>
            </w:tcBorders>
          </w:tcPr>
          <w:p w14:paraId="3E8B2DFD"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bCs/>
                <w:color w:val="000000"/>
                <w:sz w:val="20"/>
                <w:szCs w:val="20"/>
              </w:rPr>
              <w:t>Have staffing issues limited your ability to …</w:t>
            </w:r>
          </w:p>
          <w:p w14:paraId="7C702B6F" w14:textId="77777777" w:rsidR="005D5457" w:rsidRPr="005D5457" w:rsidRDefault="005D5457" w:rsidP="005D5457">
            <w:pPr>
              <w:rPr>
                <w:rFonts w:cstheme="minorHAnsi"/>
                <w:sz w:val="20"/>
                <w:szCs w:val="20"/>
              </w:rPr>
            </w:pPr>
          </w:p>
        </w:tc>
        <w:tc>
          <w:tcPr>
            <w:tcW w:w="5047" w:type="dxa"/>
            <w:tcBorders>
              <w:left w:val="nil"/>
              <w:bottom w:val="single" w:sz="4" w:space="0" w:color="auto"/>
              <w:right w:val="nil"/>
            </w:tcBorders>
          </w:tcPr>
          <w:p w14:paraId="763F2A12"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Increase the professional services offered/ Increase your scope of practice (</w:t>
            </w:r>
            <w:proofErr w:type="spellStart"/>
            <w:r w:rsidRPr="005D5457">
              <w:rPr>
                <w:rFonts w:cstheme="minorHAnsi"/>
                <w:color w:val="000000"/>
                <w:sz w:val="20"/>
                <w:szCs w:val="20"/>
              </w:rPr>
              <w:t>eg.</w:t>
            </w:r>
            <w:proofErr w:type="spellEnd"/>
            <w:r w:rsidRPr="005D5457">
              <w:rPr>
                <w:rFonts w:cstheme="minorHAnsi"/>
                <w:color w:val="000000"/>
                <w:sz w:val="20"/>
                <w:szCs w:val="20"/>
              </w:rPr>
              <w:t xml:space="preserve"> </w:t>
            </w:r>
            <w:proofErr w:type="spellStart"/>
            <w:r w:rsidRPr="005D5457">
              <w:rPr>
                <w:rFonts w:cstheme="minorHAnsi"/>
                <w:color w:val="000000"/>
                <w:sz w:val="20"/>
                <w:szCs w:val="20"/>
              </w:rPr>
              <w:t>Medchecks</w:t>
            </w:r>
            <w:proofErr w:type="spellEnd"/>
            <w:r w:rsidRPr="005D5457">
              <w:rPr>
                <w:rFonts w:cstheme="minorHAnsi"/>
                <w:color w:val="000000"/>
                <w:sz w:val="20"/>
                <w:szCs w:val="20"/>
              </w:rPr>
              <w:t>, HMRs/ RMMRs, vaccinations, etc.)/ Supervise pharmacy students or interns/ Attend CPD events/ Take annual leave/ Attract locums/ Other (free text)</w:t>
            </w:r>
          </w:p>
        </w:tc>
      </w:tr>
      <w:tr w:rsidR="005D5457" w:rsidRPr="005D5457" w14:paraId="13F0B696" w14:textId="77777777" w:rsidTr="00F8399F">
        <w:tc>
          <w:tcPr>
            <w:tcW w:w="3969" w:type="dxa"/>
            <w:tcBorders>
              <w:left w:val="nil"/>
              <w:bottom w:val="single" w:sz="4" w:space="0" w:color="auto"/>
              <w:right w:val="nil"/>
            </w:tcBorders>
          </w:tcPr>
          <w:p w14:paraId="1386F2E9"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bCs/>
                <w:color w:val="000000"/>
                <w:sz w:val="20"/>
                <w:szCs w:val="20"/>
              </w:rPr>
              <w:t xml:space="preserve">If your place of employment had (or currently has) adequate pharmacist hours would you consider broadening the professional services/scope of practice offered? </w:t>
            </w:r>
          </w:p>
        </w:tc>
        <w:tc>
          <w:tcPr>
            <w:tcW w:w="5047" w:type="dxa"/>
            <w:tcBorders>
              <w:left w:val="nil"/>
              <w:bottom w:val="single" w:sz="4" w:space="0" w:color="auto"/>
              <w:right w:val="nil"/>
            </w:tcBorders>
          </w:tcPr>
          <w:p w14:paraId="3B219F80"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Yes/ No/ Unsure</w:t>
            </w:r>
          </w:p>
        </w:tc>
      </w:tr>
      <w:tr w:rsidR="005D5457" w:rsidRPr="005D5457" w14:paraId="5C114883" w14:textId="77777777" w:rsidTr="00F8399F">
        <w:tc>
          <w:tcPr>
            <w:tcW w:w="3969" w:type="dxa"/>
            <w:tcBorders>
              <w:left w:val="nil"/>
              <w:bottom w:val="single" w:sz="4" w:space="0" w:color="auto"/>
              <w:right w:val="nil"/>
            </w:tcBorders>
          </w:tcPr>
          <w:p w14:paraId="14995E1B"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b/>
                <w:bCs/>
                <w:color w:val="000000"/>
                <w:sz w:val="20"/>
                <w:szCs w:val="20"/>
              </w:rPr>
              <w:t xml:space="preserve">Would you consider employing an overseas trained pharmacist if there was adequate funding and/or incentive program on offer to assist with this? </w:t>
            </w:r>
          </w:p>
        </w:tc>
        <w:tc>
          <w:tcPr>
            <w:tcW w:w="5047" w:type="dxa"/>
            <w:tcBorders>
              <w:left w:val="nil"/>
              <w:bottom w:val="single" w:sz="4" w:space="0" w:color="auto"/>
              <w:right w:val="nil"/>
            </w:tcBorders>
          </w:tcPr>
          <w:p w14:paraId="5ABBDB78"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 xml:space="preserve">Yes/ No/ Unsure </w:t>
            </w:r>
          </w:p>
          <w:p w14:paraId="73DF6421"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 optional free text comment)</w:t>
            </w:r>
          </w:p>
        </w:tc>
      </w:tr>
      <w:tr w:rsidR="005D5457" w:rsidRPr="005D5457" w14:paraId="0A876CA1" w14:textId="77777777" w:rsidTr="00F8399F">
        <w:tc>
          <w:tcPr>
            <w:tcW w:w="3969" w:type="dxa"/>
            <w:tcBorders>
              <w:left w:val="nil"/>
              <w:right w:val="nil"/>
            </w:tcBorders>
          </w:tcPr>
          <w:p w14:paraId="1E17B39E" w14:textId="77777777" w:rsidR="005D5457" w:rsidRPr="005D5457" w:rsidRDefault="005D5457" w:rsidP="005D5457">
            <w:pPr>
              <w:autoSpaceDE w:val="0"/>
              <w:autoSpaceDN w:val="0"/>
              <w:adjustRightInd w:val="0"/>
              <w:rPr>
                <w:rFonts w:cstheme="minorHAnsi"/>
                <w:bCs/>
                <w:color w:val="000000"/>
                <w:sz w:val="20"/>
                <w:szCs w:val="20"/>
              </w:rPr>
            </w:pPr>
            <w:r w:rsidRPr="005D5457">
              <w:rPr>
                <w:rFonts w:cstheme="minorHAnsi"/>
                <w:bCs/>
                <w:color w:val="000000"/>
                <w:sz w:val="20"/>
                <w:szCs w:val="20"/>
              </w:rPr>
              <w:t>Any additional comments</w:t>
            </w:r>
          </w:p>
        </w:tc>
        <w:tc>
          <w:tcPr>
            <w:tcW w:w="5047" w:type="dxa"/>
            <w:tcBorders>
              <w:left w:val="nil"/>
              <w:right w:val="nil"/>
            </w:tcBorders>
          </w:tcPr>
          <w:p w14:paraId="0E5268B4" w14:textId="77777777" w:rsidR="005D5457" w:rsidRPr="005D5457" w:rsidRDefault="005D5457" w:rsidP="005D5457">
            <w:pPr>
              <w:autoSpaceDE w:val="0"/>
              <w:autoSpaceDN w:val="0"/>
              <w:adjustRightInd w:val="0"/>
              <w:rPr>
                <w:rFonts w:cstheme="minorHAnsi"/>
                <w:color w:val="000000"/>
                <w:sz w:val="20"/>
                <w:szCs w:val="20"/>
              </w:rPr>
            </w:pPr>
            <w:r w:rsidRPr="005D5457">
              <w:rPr>
                <w:rFonts w:cstheme="minorHAnsi"/>
                <w:color w:val="000000"/>
                <w:sz w:val="20"/>
                <w:szCs w:val="20"/>
              </w:rPr>
              <w:t>(Free text)</w:t>
            </w:r>
          </w:p>
        </w:tc>
      </w:tr>
    </w:tbl>
    <w:p w14:paraId="085F088D" w14:textId="77777777" w:rsidR="005D5457" w:rsidRPr="005D5457" w:rsidRDefault="005D5457" w:rsidP="005D5457">
      <w:pPr>
        <w:spacing w:before="40" w:after="0" w:line="240" w:lineRule="auto"/>
        <w:rPr>
          <w:b/>
          <w:sz w:val="20"/>
          <w:szCs w:val="20"/>
        </w:rPr>
      </w:pPr>
      <w:r w:rsidRPr="005D5457">
        <w:rPr>
          <w:b/>
          <w:sz w:val="20"/>
          <w:szCs w:val="20"/>
        </w:rPr>
        <w:t xml:space="preserve">* </w:t>
      </w:r>
      <w:r w:rsidRPr="005D5457">
        <w:rPr>
          <w:sz w:val="20"/>
          <w:szCs w:val="20"/>
        </w:rPr>
        <w:t>Bolded questions were only asked of owners/managers.</w:t>
      </w:r>
    </w:p>
    <w:p w14:paraId="0D66BFB1" w14:textId="1F86CE0C" w:rsidR="005D5457" w:rsidRDefault="005D5457">
      <w:pPr>
        <w:rPr>
          <w:rFonts w:eastAsiaTheme="minorEastAsia" w:cstheme="minorHAnsi"/>
          <w:noProof/>
          <w:sz w:val="24"/>
          <w:szCs w:val="24"/>
          <w:lang w:eastAsia="zh-CN"/>
        </w:rPr>
      </w:pPr>
      <w:r>
        <w:rPr>
          <w:rFonts w:eastAsiaTheme="minorEastAsia" w:cstheme="minorHAnsi"/>
          <w:noProof/>
          <w:sz w:val="24"/>
          <w:szCs w:val="24"/>
          <w:lang w:eastAsia="zh-CN"/>
        </w:rPr>
        <w:br w:type="page"/>
      </w:r>
    </w:p>
    <w:p w14:paraId="2008F8C3" w14:textId="77777777" w:rsidR="005D5457" w:rsidRPr="005D5457" w:rsidRDefault="005D5457" w:rsidP="005D5457">
      <w:pPr>
        <w:spacing w:after="120" w:line="360" w:lineRule="auto"/>
        <w:rPr>
          <w:rFonts w:ascii="Times New Roman" w:hAnsi="Times New Roman" w:cs="Times New Roman"/>
          <w:sz w:val="24"/>
          <w:szCs w:val="24"/>
        </w:rPr>
      </w:pPr>
    </w:p>
    <w:p w14:paraId="133C15B4" w14:textId="77777777" w:rsidR="005D5457" w:rsidRPr="005D5457" w:rsidRDefault="005D5457" w:rsidP="005D5457">
      <w:pPr>
        <w:spacing w:after="120" w:line="360" w:lineRule="auto"/>
        <w:rPr>
          <w:rFonts w:ascii="Times New Roman" w:hAnsi="Times New Roman" w:cs="Times New Roman"/>
          <w:sz w:val="24"/>
          <w:szCs w:val="24"/>
        </w:rPr>
      </w:pPr>
    </w:p>
    <w:p w14:paraId="03194B19" w14:textId="77777777" w:rsidR="005D5457" w:rsidRPr="005D5457" w:rsidRDefault="005D5457" w:rsidP="005D5457">
      <w:pPr>
        <w:spacing w:after="120" w:line="360" w:lineRule="auto"/>
        <w:rPr>
          <w:rFonts w:ascii="Times New Roman" w:hAnsi="Times New Roman" w:cs="Times New Roman"/>
          <w:sz w:val="24"/>
          <w:szCs w:val="24"/>
        </w:rPr>
      </w:pPr>
    </w:p>
    <w:p w14:paraId="7C62B41A" w14:textId="77777777" w:rsidR="005D5457" w:rsidRPr="005D5457" w:rsidRDefault="005D5457" w:rsidP="005D5457">
      <w:pPr>
        <w:spacing w:after="120" w:line="360" w:lineRule="auto"/>
        <w:rPr>
          <w:rFonts w:cstheme="minorHAnsi"/>
        </w:rPr>
      </w:pPr>
    </w:p>
    <w:p w14:paraId="71A44839" w14:textId="77777777" w:rsidR="005D5457" w:rsidRPr="005D5457" w:rsidRDefault="005D5457" w:rsidP="005D5457">
      <w:pPr>
        <w:spacing w:after="120" w:line="360" w:lineRule="auto"/>
        <w:rPr>
          <w:rFonts w:cstheme="minorHAnsi"/>
        </w:rPr>
      </w:pPr>
    </w:p>
    <w:p w14:paraId="4673B083" w14:textId="08061F41" w:rsidR="005D5457" w:rsidRPr="005D5457" w:rsidRDefault="007539B9" w:rsidP="007539B9">
      <w:pPr>
        <w:tabs>
          <w:tab w:val="left" w:pos="7371"/>
        </w:tabs>
        <w:spacing w:after="120" w:line="240" w:lineRule="auto"/>
        <w:ind w:left="2127" w:right="1655"/>
        <w:rPr>
          <w:rFonts w:ascii="Times New Roman" w:hAnsi="Times New Roman" w:cs="Times New Roman"/>
          <w:sz w:val="24"/>
          <w:szCs w:val="24"/>
        </w:rPr>
      </w:pPr>
      <w:r w:rsidRPr="000B393F">
        <w:rPr>
          <w:rFonts w:cstheme="minorHAnsi"/>
          <w:b/>
          <w:sz w:val="24"/>
          <w:szCs w:val="24"/>
        </w:rPr>
        <w:t>Table 2:</w:t>
      </w:r>
      <w:r w:rsidRPr="000B393F">
        <w:rPr>
          <w:rFonts w:cstheme="minorHAnsi"/>
          <w:sz w:val="24"/>
          <w:szCs w:val="24"/>
        </w:rPr>
        <w:t xml:space="preserve"> Respondents demographic variables (n = 50).</w:t>
      </w:r>
    </w:p>
    <w:tbl>
      <w:tblPr>
        <w:tblStyle w:val="TableGrid2"/>
        <w:tblpPr w:leftFromText="180" w:rightFromText="180" w:vertAnchor="page" w:horzAnchor="margin" w:tblpXSpec="center" w:tblpY="4591"/>
        <w:tblW w:w="0" w:type="auto"/>
        <w:tblLook w:val="04A0" w:firstRow="1" w:lastRow="0" w:firstColumn="1" w:lastColumn="0" w:noHBand="0" w:noVBand="1"/>
      </w:tblPr>
      <w:tblGrid>
        <w:gridCol w:w="2410"/>
        <w:gridCol w:w="1418"/>
        <w:gridCol w:w="992"/>
      </w:tblGrid>
      <w:tr w:rsidR="007539B9" w:rsidRPr="005D5457" w14:paraId="1664FDB4" w14:textId="77777777" w:rsidTr="007539B9">
        <w:tc>
          <w:tcPr>
            <w:tcW w:w="2410" w:type="dxa"/>
            <w:tcBorders>
              <w:left w:val="nil"/>
              <w:bottom w:val="single" w:sz="4" w:space="0" w:color="auto"/>
              <w:right w:val="nil"/>
            </w:tcBorders>
            <w:vAlign w:val="center"/>
          </w:tcPr>
          <w:p w14:paraId="726DD1DE" w14:textId="77777777" w:rsidR="007539B9" w:rsidRPr="005D5457" w:rsidRDefault="007539B9" w:rsidP="007539B9">
            <w:pPr>
              <w:spacing w:line="276" w:lineRule="auto"/>
              <w:rPr>
                <w:rFonts w:cstheme="minorHAnsi"/>
                <w:b/>
                <w:sz w:val="24"/>
                <w:szCs w:val="24"/>
              </w:rPr>
            </w:pPr>
            <w:r w:rsidRPr="005D5457">
              <w:rPr>
                <w:rFonts w:cstheme="minorHAnsi"/>
                <w:b/>
                <w:sz w:val="24"/>
                <w:szCs w:val="24"/>
              </w:rPr>
              <w:t>Variable</w:t>
            </w:r>
          </w:p>
        </w:tc>
        <w:tc>
          <w:tcPr>
            <w:tcW w:w="1418" w:type="dxa"/>
            <w:tcBorders>
              <w:left w:val="nil"/>
              <w:bottom w:val="single" w:sz="4" w:space="0" w:color="auto"/>
              <w:right w:val="nil"/>
            </w:tcBorders>
            <w:vAlign w:val="center"/>
          </w:tcPr>
          <w:p w14:paraId="7A191899" w14:textId="77777777" w:rsidR="007539B9" w:rsidRPr="005D5457" w:rsidRDefault="007539B9" w:rsidP="007539B9">
            <w:pPr>
              <w:spacing w:line="276" w:lineRule="auto"/>
              <w:jc w:val="center"/>
              <w:rPr>
                <w:rFonts w:cstheme="minorHAnsi"/>
                <w:b/>
                <w:sz w:val="24"/>
                <w:szCs w:val="24"/>
              </w:rPr>
            </w:pPr>
            <w:r w:rsidRPr="005D5457">
              <w:rPr>
                <w:rFonts w:cstheme="minorHAnsi"/>
                <w:b/>
                <w:sz w:val="24"/>
                <w:szCs w:val="24"/>
              </w:rPr>
              <w:t>n</w:t>
            </w:r>
          </w:p>
        </w:tc>
        <w:tc>
          <w:tcPr>
            <w:tcW w:w="992" w:type="dxa"/>
            <w:tcBorders>
              <w:left w:val="nil"/>
              <w:bottom w:val="single" w:sz="4" w:space="0" w:color="auto"/>
              <w:right w:val="nil"/>
            </w:tcBorders>
            <w:vAlign w:val="center"/>
          </w:tcPr>
          <w:p w14:paraId="2FD1959A" w14:textId="77777777" w:rsidR="007539B9" w:rsidRPr="005D5457" w:rsidRDefault="007539B9" w:rsidP="007539B9">
            <w:pPr>
              <w:spacing w:line="276" w:lineRule="auto"/>
              <w:jc w:val="center"/>
              <w:rPr>
                <w:rFonts w:cstheme="minorHAnsi"/>
                <w:b/>
                <w:sz w:val="24"/>
                <w:szCs w:val="24"/>
              </w:rPr>
            </w:pPr>
            <w:r w:rsidRPr="005D5457">
              <w:rPr>
                <w:rFonts w:cstheme="minorHAnsi"/>
                <w:b/>
                <w:sz w:val="24"/>
                <w:szCs w:val="24"/>
              </w:rPr>
              <w:t>%</w:t>
            </w:r>
          </w:p>
        </w:tc>
      </w:tr>
      <w:tr w:rsidR="007539B9" w:rsidRPr="005D5457" w14:paraId="45583E9E" w14:textId="77777777" w:rsidTr="007539B9">
        <w:tc>
          <w:tcPr>
            <w:tcW w:w="4820" w:type="dxa"/>
            <w:gridSpan w:val="3"/>
            <w:tcBorders>
              <w:left w:val="nil"/>
              <w:bottom w:val="single" w:sz="4" w:space="0" w:color="auto"/>
              <w:right w:val="nil"/>
            </w:tcBorders>
            <w:shd w:val="clear" w:color="auto" w:fill="F2F2F2" w:themeFill="background1" w:themeFillShade="F2"/>
            <w:vAlign w:val="center"/>
          </w:tcPr>
          <w:p w14:paraId="3B65A42E" w14:textId="77777777" w:rsidR="007539B9" w:rsidRPr="005D5457" w:rsidRDefault="007539B9" w:rsidP="007539B9">
            <w:pPr>
              <w:spacing w:line="276" w:lineRule="auto"/>
              <w:rPr>
                <w:rFonts w:cstheme="minorHAnsi"/>
                <w:b/>
              </w:rPr>
            </w:pPr>
            <w:r w:rsidRPr="005D5457">
              <w:rPr>
                <w:rFonts w:eastAsia="Times New Roman" w:cstheme="minorHAnsi"/>
                <w:b/>
                <w:lang w:eastAsia="en-AU"/>
              </w:rPr>
              <w:t>Professional Roles</w:t>
            </w:r>
          </w:p>
        </w:tc>
      </w:tr>
      <w:tr w:rsidR="007539B9" w:rsidRPr="005D5457" w14:paraId="33A6A6A9" w14:textId="77777777" w:rsidTr="007539B9">
        <w:tc>
          <w:tcPr>
            <w:tcW w:w="2410" w:type="dxa"/>
            <w:tcBorders>
              <w:left w:val="nil"/>
              <w:bottom w:val="nil"/>
              <w:right w:val="nil"/>
            </w:tcBorders>
            <w:vAlign w:val="center"/>
          </w:tcPr>
          <w:p w14:paraId="65671F4B" w14:textId="77777777" w:rsidR="007539B9" w:rsidRPr="005D5457" w:rsidRDefault="007539B9" w:rsidP="007539B9">
            <w:pPr>
              <w:spacing w:line="276" w:lineRule="auto"/>
              <w:rPr>
                <w:rFonts w:cstheme="minorHAnsi"/>
              </w:rPr>
            </w:pPr>
            <w:r w:rsidRPr="005D5457">
              <w:rPr>
                <w:rFonts w:cstheme="minorHAnsi"/>
              </w:rPr>
              <w:t>Accredited Pharmacist</w:t>
            </w:r>
          </w:p>
        </w:tc>
        <w:tc>
          <w:tcPr>
            <w:tcW w:w="1418" w:type="dxa"/>
            <w:tcBorders>
              <w:left w:val="nil"/>
              <w:bottom w:val="nil"/>
              <w:right w:val="nil"/>
            </w:tcBorders>
            <w:vAlign w:val="center"/>
          </w:tcPr>
          <w:p w14:paraId="40286FAA" w14:textId="77777777" w:rsidR="007539B9" w:rsidRPr="005D5457" w:rsidRDefault="007539B9" w:rsidP="007539B9">
            <w:pPr>
              <w:spacing w:line="276" w:lineRule="auto"/>
              <w:jc w:val="center"/>
              <w:rPr>
                <w:rFonts w:cstheme="minorHAnsi"/>
              </w:rPr>
            </w:pPr>
            <w:r w:rsidRPr="005D5457">
              <w:rPr>
                <w:rFonts w:cstheme="minorHAnsi"/>
              </w:rPr>
              <w:t>2</w:t>
            </w:r>
          </w:p>
        </w:tc>
        <w:tc>
          <w:tcPr>
            <w:tcW w:w="992" w:type="dxa"/>
            <w:tcBorders>
              <w:left w:val="nil"/>
              <w:bottom w:val="nil"/>
              <w:right w:val="nil"/>
            </w:tcBorders>
            <w:vAlign w:val="center"/>
          </w:tcPr>
          <w:p w14:paraId="6A50AA6A" w14:textId="77777777" w:rsidR="007539B9" w:rsidRPr="005D5457" w:rsidRDefault="007539B9" w:rsidP="007539B9">
            <w:pPr>
              <w:spacing w:line="276" w:lineRule="auto"/>
              <w:jc w:val="center"/>
              <w:rPr>
                <w:rFonts w:cstheme="minorHAnsi"/>
              </w:rPr>
            </w:pPr>
            <w:r w:rsidRPr="005D5457">
              <w:rPr>
                <w:rFonts w:cstheme="minorHAnsi"/>
              </w:rPr>
              <w:t>4</w:t>
            </w:r>
          </w:p>
        </w:tc>
      </w:tr>
      <w:tr w:rsidR="007539B9" w:rsidRPr="005D5457" w14:paraId="05BBE0E2" w14:textId="77777777" w:rsidTr="007539B9">
        <w:tc>
          <w:tcPr>
            <w:tcW w:w="2410" w:type="dxa"/>
            <w:tcBorders>
              <w:top w:val="nil"/>
              <w:left w:val="nil"/>
              <w:bottom w:val="nil"/>
              <w:right w:val="nil"/>
            </w:tcBorders>
            <w:vAlign w:val="center"/>
          </w:tcPr>
          <w:p w14:paraId="1B54686E" w14:textId="77777777" w:rsidR="007539B9" w:rsidRPr="005D5457" w:rsidRDefault="007539B9" w:rsidP="007539B9">
            <w:pPr>
              <w:spacing w:line="276" w:lineRule="auto"/>
              <w:rPr>
                <w:rFonts w:cstheme="minorHAnsi"/>
              </w:rPr>
            </w:pPr>
            <w:r w:rsidRPr="005D5457">
              <w:rPr>
                <w:rFonts w:cstheme="minorHAnsi"/>
              </w:rPr>
              <w:t>Community Pharmacist</w:t>
            </w:r>
          </w:p>
        </w:tc>
        <w:tc>
          <w:tcPr>
            <w:tcW w:w="1418" w:type="dxa"/>
            <w:tcBorders>
              <w:top w:val="nil"/>
              <w:left w:val="nil"/>
              <w:bottom w:val="nil"/>
              <w:right w:val="nil"/>
            </w:tcBorders>
            <w:vAlign w:val="center"/>
          </w:tcPr>
          <w:p w14:paraId="1036FEEF" w14:textId="77777777" w:rsidR="007539B9" w:rsidRPr="005D5457" w:rsidRDefault="007539B9" w:rsidP="007539B9">
            <w:pPr>
              <w:spacing w:line="276" w:lineRule="auto"/>
              <w:jc w:val="center"/>
              <w:rPr>
                <w:rFonts w:cstheme="minorHAnsi"/>
              </w:rPr>
            </w:pPr>
            <w:r w:rsidRPr="005D5457">
              <w:rPr>
                <w:rFonts w:cstheme="minorHAnsi"/>
              </w:rPr>
              <w:t>24</w:t>
            </w:r>
          </w:p>
        </w:tc>
        <w:tc>
          <w:tcPr>
            <w:tcW w:w="992" w:type="dxa"/>
            <w:tcBorders>
              <w:top w:val="nil"/>
              <w:left w:val="nil"/>
              <w:bottom w:val="nil"/>
              <w:right w:val="nil"/>
            </w:tcBorders>
            <w:vAlign w:val="center"/>
          </w:tcPr>
          <w:p w14:paraId="28DEC86E" w14:textId="77777777" w:rsidR="007539B9" w:rsidRPr="005D5457" w:rsidRDefault="007539B9" w:rsidP="007539B9">
            <w:pPr>
              <w:spacing w:line="276" w:lineRule="auto"/>
              <w:jc w:val="center"/>
              <w:rPr>
                <w:rFonts w:cstheme="minorHAnsi"/>
              </w:rPr>
            </w:pPr>
            <w:r w:rsidRPr="005D5457">
              <w:rPr>
                <w:rFonts w:cstheme="minorHAnsi"/>
              </w:rPr>
              <w:t>48</w:t>
            </w:r>
          </w:p>
        </w:tc>
      </w:tr>
      <w:tr w:rsidR="007539B9" w:rsidRPr="005D5457" w14:paraId="4B8741A1" w14:textId="77777777" w:rsidTr="007539B9">
        <w:tc>
          <w:tcPr>
            <w:tcW w:w="2410" w:type="dxa"/>
            <w:tcBorders>
              <w:top w:val="nil"/>
              <w:left w:val="nil"/>
              <w:bottom w:val="nil"/>
              <w:right w:val="nil"/>
            </w:tcBorders>
            <w:vAlign w:val="center"/>
          </w:tcPr>
          <w:p w14:paraId="13AEE511" w14:textId="77777777" w:rsidR="007539B9" w:rsidRPr="005D5457" w:rsidRDefault="007539B9" w:rsidP="007539B9">
            <w:pPr>
              <w:spacing w:line="276" w:lineRule="auto"/>
              <w:rPr>
                <w:rFonts w:cstheme="minorHAnsi"/>
              </w:rPr>
            </w:pPr>
            <w:r w:rsidRPr="005D5457">
              <w:rPr>
                <w:rFonts w:cstheme="minorHAnsi"/>
              </w:rPr>
              <w:t>Hospital Pharmacist</w:t>
            </w:r>
          </w:p>
        </w:tc>
        <w:tc>
          <w:tcPr>
            <w:tcW w:w="1418" w:type="dxa"/>
            <w:tcBorders>
              <w:top w:val="nil"/>
              <w:left w:val="nil"/>
              <w:bottom w:val="nil"/>
              <w:right w:val="nil"/>
            </w:tcBorders>
            <w:vAlign w:val="center"/>
          </w:tcPr>
          <w:p w14:paraId="37968209" w14:textId="77777777" w:rsidR="007539B9" w:rsidRPr="005D5457" w:rsidRDefault="007539B9" w:rsidP="007539B9">
            <w:pPr>
              <w:spacing w:line="276" w:lineRule="auto"/>
              <w:jc w:val="center"/>
              <w:rPr>
                <w:rFonts w:cstheme="minorHAnsi"/>
              </w:rPr>
            </w:pPr>
            <w:r w:rsidRPr="005D5457">
              <w:rPr>
                <w:rFonts w:cstheme="minorHAnsi"/>
              </w:rPr>
              <w:t>1</w:t>
            </w:r>
          </w:p>
        </w:tc>
        <w:tc>
          <w:tcPr>
            <w:tcW w:w="992" w:type="dxa"/>
            <w:tcBorders>
              <w:top w:val="nil"/>
              <w:left w:val="nil"/>
              <w:bottom w:val="nil"/>
              <w:right w:val="nil"/>
            </w:tcBorders>
            <w:vAlign w:val="center"/>
          </w:tcPr>
          <w:p w14:paraId="24076A57" w14:textId="77777777" w:rsidR="007539B9" w:rsidRPr="005D5457" w:rsidRDefault="007539B9" w:rsidP="007539B9">
            <w:pPr>
              <w:spacing w:line="276" w:lineRule="auto"/>
              <w:jc w:val="center"/>
              <w:rPr>
                <w:rFonts w:cstheme="minorHAnsi"/>
              </w:rPr>
            </w:pPr>
            <w:r w:rsidRPr="005D5457">
              <w:rPr>
                <w:rFonts w:cstheme="minorHAnsi"/>
              </w:rPr>
              <w:t>2</w:t>
            </w:r>
          </w:p>
        </w:tc>
      </w:tr>
      <w:tr w:rsidR="007539B9" w:rsidRPr="005D5457" w14:paraId="7A9CDC63" w14:textId="77777777" w:rsidTr="007539B9">
        <w:tc>
          <w:tcPr>
            <w:tcW w:w="2410" w:type="dxa"/>
            <w:tcBorders>
              <w:top w:val="nil"/>
              <w:left w:val="nil"/>
              <w:bottom w:val="nil"/>
              <w:right w:val="nil"/>
            </w:tcBorders>
            <w:vAlign w:val="center"/>
          </w:tcPr>
          <w:p w14:paraId="1EED95E8" w14:textId="77777777" w:rsidR="007539B9" w:rsidRPr="005D5457" w:rsidRDefault="007539B9" w:rsidP="007539B9">
            <w:pPr>
              <w:spacing w:line="276" w:lineRule="auto"/>
              <w:rPr>
                <w:rFonts w:cstheme="minorHAnsi"/>
              </w:rPr>
            </w:pPr>
            <w:r w:rsidRPr="005D5457">
              <w:rPr>
                <w:rFonts w:cstheme="minorHAnsi"/>
              </w:rPr>
              <w:t>Managing Pharmacist</w:t>
            </w:r>
          </w:p>
        </w:tc>
        <w:tc>
          <w:tcPr>
            <w:tcW w:w="1418" w:type="dxa"/>
            <w:tcBorders>
              <w:top w:val="nil"/>
              <w:left w:val="nil"/>
              <w:bottom w:val="nil"/>
              <w:right w:val="nil"/>
            </w:tcBorders>
            <w:vAlign w:val="center"/>
          </w:tcPr>
          <w:p w14:paraId="1B9CA5A6" w14:textId="77777777" w:rsidR="007539B9" w:rsidRPr="005D5457" w:rsidRDefault="007539B9" w:rsidP="007539B9">
            <w:pPr>
              <w:spacing w:line="276" w:lineRule="auto"/>
              <w:jc w:val="center"/>
              <w:rPr>
                <w:rFonts w:cstheme="minorHAnsi"/>
              </w:rPr>
            </w:pPr>
            <w:r w:rsidRPr="005D5457">
              <w:rPr>
                <w:rFonts w:cstheme="minorHAnsi"/>
              </w:rPr>
              <w:t>4</w:t>
            </w:r>
          </w:p>
        </w:tc>
        <w:tc>
          <w:tcPr>
            <w:tcW w:w="992" w:type="dxa"/>
            <w:tcBorders>
              <w:top w:val="nil"/>
              <w:left w:val="nil"/>
              <w:bottom w:val="nil"/>
              <w:right w:val="nil"/>
            </w:tcBorders>
            <w:vAlign w:val="center"/>
          </w:tcPr>
          <w:p w14:paraId="638B85E7" w14:textId="77777777" w:rsidR="007539B9" w:rsidRPr="005D5457" w:rsidRDefault="007539B9" w:rsidP="007539B9">
            <w:pPr>
              <w:spacing w:line="276" w:lineRule="auto"/>
              <w:jc w:val="center"/>
              <w:rPr>
                <w:rFonts w:cstheme="minorHAnsi"/>
              </w:rPr>
            </w:pPr>
            <w:r w:rsidRPr="005D5457">
              <w:rPr>
                <w:rFonts w:cstheme="minorHAnsi"/>
              </w:rPr>
              <w:t>8</w:t>
            </w:r>
          </w:p>
        </w:tc>
      </w:tr>
      <w:tr w:rsidR="007539B9" w:rsidRPr="005D5457" w14:paraId="40F98DA1" w14:textId="77777777" w:rsidTr="007539B9">
        <w:tc>
          <w:tcPr>
            <w:tcW w:w="2410" w:type="dxa"/>
            <w:tcBorders>
              <w:top w:val="nil"/>
              <w:left w:val="nil"/>
              <w:bottom w:val="nil"/>
              <w:right w:val="nil"/>
            </w:tcBorders>
            <w:vAlign w:val="center"/>
          </w:tcPr>
          <w:p w14:paraId="6EBFAA43" w14:textId="77777777" w:rsidR="007539B9" w:rsidRPr="005D5457" w:rsidRDefault="007539B9" w:rsidP="007539B9">
            <w:pPr>
              <w:spacing w:line="276" w:lineRule="auto"/>
              <w:rPr>
                <w:rFonts w:cstheme="minorHAnsi"/>
              </w:rPr>
            </w:pPr>
            <w:r w:rsidRPr="005D5457">
              <w:rPr>
                <w:rFonts w:cstheme="minorHAnsi"/>
              </w:rPr>
              <w:t>Owner</w:t>
            </w:r>
          </w:p>
        </w:tc>
        <w:tc>
          <w:tcPr>
            <w:tcW w:w="1418" w:type="dxa"/>
            <w:tcBorders>
              <w:top w:val="nil"/>
              <w:left w:val="nil"/>
              <w:bottom w:val="nil"/>
              <w:right w:val="nil"/>
            </w:tcBorders>
            <w:vAlign w:val="center"/>
          </w:tcPr>
          <w:p w14:paraId="49F3C68C" w14:textId="77777777" w:rsidR="007539B9" w:rsidRPr="005D5457" w:rsidRDefault="007539B9" w:rsidP="007539B9">
            <w:pPr>
              <w:spacing w:line="276" w:lineRule="auto"/>
              <w:jc w:val="center"/>
              <w:rPr>
                <w:rFonts w:cstheme="minorHAnsi"/>
              </w:rPr>
            </w:pPr>
            <w:r w:rsidRPr="005D5457">
              <w:rPr>
                <w:rFonts w:cstheme="minorHAnsi"/>
              </w:rPr>
              <w:t>1</w:t>
            </w:r>
          </w:p>
        </w:tc>
        <w:tc>
          <w:tcPr>
            <w:tcW w:w="992" w:type="dxa"/>
            <w:tcBorders>
              <w:top w:val="nil"/>
              <w:left w:val="nil"/>
              <w:bottom w:val="nil"/>
              <w:right w:val="nil"/>
            </w:tcBorders>
            <w:vAlign w:val="center"/>
          </w:tcPr>
          <w:p w14:paraId="2814CC97" w14:textId="77777777" w:rsidR="007539B9" w:rsidRPr="005D5457" w:rsidRDefault="007539B9" w:rsidP="007539B9">
            <w:pPr>
              <w:spacing w:line="276" w:lineRule="auto"/>
              <w:jc w:val="center"/>
              <w:rPr>
                <w:rFonts w:cstheme="minorHAnsi"/>
              </w:rPr>
            </w:pPr>
            <w:r w:rsidRPr="005D5457">
              <w:rPr>
                <w:rFonts w:cstheme="minorHAnsi"/>
              </w:rPr>
              <w:t>2</w:t>
            </w:r>
          </w:p>
        </w:tc>
      </w:tr>
      <w:tr w:rsidR="007539B9" w:rsidRPr="005D5457" w14:paraId="54F4285E" w14:textId="77777777" w:rsidTr="007539B9">
        <w:tc>
          <w:tcPr>
            <w:tcW w:w="2410" w:type="dxa"/>
            <w:tcBorders>
              <w:top w:val="nil"/>
              <w:left w:val="nil"/>
              <w:bottom w:val="nil"/>
              <w:right w:val="nil"/>
            </w:tcBorders>
            <w:vAlign w:val="center"/>
          </w:tcPr>
          <w:p w14:paraId="40BB2BFC" w14:textId="77777777" w:rsidR="007539B9" w:rsidRPr="005D5457" w:rsidRDefault="007539B9" w:rsidP="007539B9">
            <w:pPr>
              <w:spacing w:line="276" w:lineRule="auto"/>
              <w:rPr>
                <w:rFonts w:cstheme="minorHAnsi"/>
              </w:rPr>
            </w:pPr>
            <w:r w:rsidRPr="005D5457">
              <w:rPr>
                <w:rFonts w:cstheme="minorHAnsi"/>
              </w:rPr>
              <w:t>Owner Manager</w:t>
            </w:r>
          </w:p>
        </w:tc>
        <w:tc>
          <w:tcPr>
            <w:tcW w:w="1418" w:type="dxa"/>
            <w:tcBorders>
              <w:top w:val="nil"/>
              <w:left w:val="nil"/>
              <w:bottom w:val="nil"/>
              <w:right w:val="nil"/>
            </w:tcBorders>
            <w:vAlign w:val="center"/>
          </w:tcPr>
          <w:p w14:paraId="67933BDC" w14:textId="77777777" w:rsidR="007539B9" w:rsidRPr="005D5457" w:rsidRDefault="007539B9" w:rsidP="007539B9">
            <w:pPr>
              <w:spacing w:line="276" w:lineRule="auto"/>
              <w:jc w:val="center"/>
              <w:rPr>
                <w:rFonts w:cstheme="minorHAnsi"/>
              </w:rPr>
            </w:pPr>
            <w:r w:rsidRPr="005D5457">
              <w:rPr>
                <w:rFonts w:cstheme="minorHAnsi"/>
              </w:rPr>
              <w:t>17</w:t>
            </w:r>
          </w:p>
        </w:tc>
        <w:tc>
          <w:tcPr>
            <w:tcW w:w="992" w:type="dxa"/>
            <w:tcBorders>
              <w:top w:val="nil"/>
              <w:left w:val="nil"/>
              <w:bottom w:val="nil"/>
              <w:right w:val="nil"/>
            </w:tcBorders>
            <w:vAlign w:val="center"/>
          </w:tcPr>
          <w:p w14:paraId="166C548B" w14:textId="77777777" w:rsidR="007539B9" w:rsidRPr="005D5457" w:rsidRDefault="007539B9" w:rsidP="007539B9">
            <w:pPr>
              <w:spacing w:line="276" w:lineRule="auto"/>
              <w:jc w:val="center"/>
              <w:rPr>
                <w:rFonts w:cstheme="minorHAnsi"/>
              </w:rPr>
            </w:pPr>
            <w:r w:rsidRPr="005D5457">
              <w:rPr>
                <w:rFonts w:cstheme="minorHAnsi"/>
              </w:rPr>
              <w:t>34</w:t>
            </w:r>
          </w:p>
        </w:tc>
      </w:tr>
      <w:tr w:rsidR="007539B9" w:rsidRPr="005D5457" w14:paraId="50221CD5" w14:textId="77777777" w:rsidTr="007539B9">
        <w:tc>
          <w:tcPr>
            <w:tcW w:w="2410" w:type="dxa"/>
            <w:tcBorders>
              <w:top w:val="nil"/>
              <w:left w:val="nil"/>
              <w:bottom w:val="single" w:sz="4" w:space="0" w:color="auto"/>
              <w:right w:val="nil"/>
            </w:tcBorders>
            <w:vAlign w:val="center"/>
          </w:tcPr>
          <w:p w14:paraId="35BD901E" w14:textId="77777777" w:rsidR="007539B9" w:rsidRPr="005D5457" w:rsidRDefault="007539B9" w:rsidP="007539B9">
            <w:pPr>
              <w:spacing w:line="276" w:lineRule="auto"/>
              <w:rPr>
                <w:rFonts w:cstheme="minorHAnsi"/>
              </w:rPr>
            </w:pPr>
            <w:r w:rsidRPr="005D5457">
              <w:rPr>
                <w:rFonts w:eastAsia="Times New Roman" w:cstheme="minorHAnsi"/>
                <w:lang w:eastAsia="en-AU"/>
              </w:rPr>
              <w:t>Intern Pharmacist</w:t>
            </w:r>
          </w:p>
        </w:tc>
        <w:tc>
          <w:tcPr>
            <w:tcW w:w="1418" w:type="dxa"/>
            <w:tcBorders>
              <w:top w:val="nil"/>
              <w:left w:val="nil"/>
              <w:bottom w:val="single" w:sz="4" w:space="0" w:color="auto"/>
              <w:right w:val="nil"/>
            </w:tcBorders>
            <w:vAlign w:val="center"/>
          </w:tcPr>
          <w:p w14:paraId="444E8CF0" w14:textId="77777777" w:rsidR="007539B9" w:rsidRPr="005D5457" w:rsidRDefault="007539B9" w:rsidP="007539B9">
            <w:pPr>
              <w:spacing w:line="276" w:lineRule="auto"/>
              <w:jc w:val="center"/>
              <w:rPr>
                <w:rFonts w:cstheme="minorHAnsi"/>
              </w:rPr>
            </w:pPr>
            <w:r w:rsidRPr="005D5457">
              <w:rPr>
                <w:rFonts w:cstheme="minorHAnsi"/>
              </w:rPr>
              <w:t>1</w:t>
            </w:r>
          </w:p>
        </w:tc>
        <w:tc>
          <w:tcPr>
            <w:tcW w:w="992" w:type="dxa"/>
            <w:tcBorders>
              <w:top w:val="nil"/>
              <w:left w:val="nil"/>
              <w:bottom w:val="single" w:sz="4" w:space="0" w:color="auto"/>
              <w:right w:val="nil"/>
            </w:tcBorders>
            <w:vAlign w:val="center"/>
          </w:tcPr>
          <w:p w14:paraId="1481BC51" w14:textId="77777777" w:rsidR="007539B9" w:rsidRPr="005D5457" w:rsidRDefault="007539B9" w:rsidP="007539B9">
            <w:pPr>
              <w:spacing w:line="276" w:lineRule="auto"/>
              <w:jc w:val="center"/>
              <w:rPr>
                <w:rFonts w:cstheme="minorHAnsi"/>
              </w:rPr>
            </w:pPr>
            <w:r w:rsidRPr="005D5457">
              <w:rPr>
                <w:rFonts w:cstheme="minorHAnsi"/>
              </w:rPr>
              <w:t>2</w:t>
            </w:r>
          </w:p>
        </w:tc>
      </w:tr>
      <w:tr w:rsidR="007539B9" w:rsidRPr="005D5457" w14:paraId="1D77FE1B" w14:textId="77777777" w:rsidTr="007539B9">
        <w:tc>
          <w:tcPr>
            <w:tcW w:w="4820" w:type="dxa"/>
            <w:gridSpan w:val="3"/>
            <w:tcBorders>
              <w:top w:val="single" w:sz="4" w:space="0" w:color="auto"/>
              <w:left w:val="nil"/>
              <w:bottom w:val="single" w:sz="4" w:space="0" w:color="auto"/>
              <w:right w:val="nil"/>
            </w:tcBorders>
            <w:shd w:val="clear" w:color="auto" w:fill="F2F2F2" w:themeFill="background1" w:themeFillShade="F2"/>
            <w:vAlign w:val="center"/>
          </w:tcPr>
          <w:p w14:paraId="47B8F411" w14:textId="77777777" w:rsidR="007539B9" w:rsidRPr="005D5457" w:rsidRDefault="007539B9" w:rsidP="007539B9">
            <w:pPr>
              <w:spacing w:line="276" w:lineRule="auto"/>
              <w:rPr>
                <w:rFonts w:cstheme="minorHAnsi"/>
                <w:b/>
              </w:rPr>
            </w:pPr>
            <w:r w:rsidRPr="005D5457">
              <w:rPr>
                <w:rFonts w:eastAsia="Times New Roman" w:cstheme="minorHAnsi"/>
                <w:b/>
                <w:lang w:eastAsia="en-AU"/>
              </w:rPr>
              <w:t>Cohort (data collection hub)</w:t>
            </w:r>
          </w:p>
        </w:tc>
      </w:tr>
      <w:tr w:rsidR="007539B9" w:rsidRPr="005D5457" w14:paraId="7FF6544A" w14:textId="77777777" w:rsidTr="007539B9">
        <w:tc>
          <w:tcPr>
            <w:tcW w:w="2410" w:type="dxa"/>
            <w:tcBorders>
              <w:top w:val="single" w:sz="4" w:space="0" w:color="auto"/>
              <w:left w:val="nil"/>
              <w:bottom w:val="nil"/>
              <w:right w:val="nil"/>
            </w:tcBorders>
            <w:vAlign w:val="center"/>
          </w:tcPr>
          <w:p w14:paraId="1F5C01B1" w14:textId="77777777" w:rsidR="007539B9" w:rsidRPr="005D5457" w:rsidRDefault="007539B9" w:rsidP="007539B9">
            <w:pPr>
              <w:spacing w:line="276" w:lineRule="auto"/>
              <w:rPr>
                <w:rFonts w:eastAsia="Times New Roman" w:cstheme="minorHAnsi"/>
                <w:lang w:eastAsia="en-AU"/>
              </w:rPr>
            </w:pPr>
            <w:r w:rsidRPr="005D5457">
              <w:rPr>
                <w:rFonts w:eastAsia="Times New Roman" w:cstheme="minorHAnsi"/>
                <w:lang w:eastAsia="en-AU"/>
              </w:rPr>
              <w:t>Coastal (Taree)</w:t>
            </w:r>
          </w:p>
        </w:tc>
        <w:tc>
          <w:tcPr>
            <w:tcW w:w="1418" w:type="dxa"/>
            <w:tcBorders>
              <w:top w:val="single" w:sz="4" w:space="0" w:color="auto"/>
              <w:left w:val="nil"/>
              <w:bottom w:val="nil"/>
              <w:right w:val="nil"/>
            </w:tcBorders>
            <w:vAlign w:val="center"/>
          </w:tcPr>
          <w:p w14:paraId="27B99967" w14:textId="77777777" w:rsidR="007539B9" w:rsidRPr="005D5457" w:rsidRDefault="007539B9" w:rsidP="007539B9">
            <w:pPr>
              <w:spacing w:line="276" w:lineRule="auto"/>
              <w:jc w:val="center"/>
              <w:rPr>
                <w:rFonts w:cstheme="minorHAnsi"/>
              </w:rPr>
            </w:pPr>
            <w:r w:rsidRPr="005D5457">
              <w:rPr>
                <w:rFonts w:cstheme="minorHAnsi"/>
              </w:rPr>
              <w:t>28</w:t>
            </w:r>
          </w:p>
        </w:tc>
        <w:tc>
          <w:tcPr>
            <w:tcW w:w="992" w:type="dxa"/>
            <w:tcBorders>
              <w:top w:val="single" w:sz="4" w:space="0" w:color="auto"/>
              <w:left w:val="nil"/>
              <w:bottom w:val="nil"/>
              <w:right w:val="nil"/>
            </w:tcBorders>
            <w:vAlign w:val="center"/>
          </w:tcPr>
          <w:p w14:paraId="163EBD71" w14:textId="77777777" w:rsidR="007539B9" w:rsidRPr="005D5457" w:rsidRDefault="007539B9" w:rsidP="007539B9">
            <w:pPr>
              <w:spacing w:line="276" w:lineRule="auto"/>
              <w:jc w:val="center"/>
              <w:rPr>
                <w:rFonts w:cstheme="minorHAnsi"/>
              </w:rPr>
            </w:pPr>
            <w:r w:rsidRPr="005D5457">
              <w:rPr>
                <w:rFonts w:cstheme="minorHAnsi"/>
              </w:rPr>
              <w:t>56</w:t>
            </w:r>
          </w:p>
        </w:tc>
      </w:tr>
      <w:tr w:rsidR="007539B9" w:rsidRPr="005D5457" w14:paraId="02F420FB" w14:textId="77777777" w:rsidTr="007539B9">
        <w:tc>
          <w:tcPr>
            <w:tcW w:w="2410" w:type="dxa"/>
            <w:tcBorders>
              <w:top w:val="nil"/>
              <w:left w:val="nil"/>
              <w:bottom w:val="single" w:sz="4" w:space="0" w:color="auto"/>
              <w:right w:val="nil"/>
            </w:tcBorders>
            <w:vAlign w:val="center"/>
          </w:tcPr>
          <w:p w14:paraId="280C9C96" w14:textId="77777777" w:rsidR="007539B9" w:rsidRPr="005D5457" w:rsidRDefault="007539B9" w:rsidP="007539B9">
            <w:pPr>
              <w:spacing w:line="276" w:lineRule="auto"/>
              <w:rPr>
                <w:rFonts w:eastAsia="Times New Roman" w:cstheme="minorHAnsi"/>
                <w:lang w:eastAsia="en-AU"/>
              </w:rPr>
            </w:pPr>
            <w:r w:rsidRPr="005D5457">
              <w:rPr>
                <w:rFonts w:eastAsia="Times New Roman" w:cstheme="minorHAnsi"/>
                <w:lang w:eastAsia="en-AU"/>
              </w:rPr>
              <w:t>Inland (Tamworth)</w:t>
            </w:r>
          </w:p>
        </w:tc>
        <w:tc>
          <w:tcPr>
            <w:tcW w:w="1418" w:type="dxa"/>
            <w:tcBorders>
              <w:top w:val="nil"/>
              <w:left w:val="nil"/>
              <w:bottom w:val="single" w:sz="4" w:space="0" w:color="auto"/>
              <w:right w:val="nil"/>
            </w:tcBorders>
            <w:vAlign w:val="center"/>
          </w:tcPr>
          <w:p w14:paraId="06DFEA28" w14:textId="77777777" w:rsidR="007539B9" w:rsidRPr="005D5457" w:rsidRDefault="007539B9" w:rsidP="007539B9">
            <w:pPr>
              <w:spacing w:line="276" w:lineRule="auto"/>
              <w:jc w:val="center"/>
              <w:rPr>
                <w:rFonts w:cstheme="minorHAnsi"/>
              </w:rPr>
            </w:pPr>
            <w:r w:rsidRPr="005D5457">
              <w:rPr>
                <w:rFonts w:cstheme="minorHAnsi"/>
              </w:rPr>
              <w:t>22</w:t>
            </w:r>
          </w:p>
        </w:tc>
        <w:tc>
          <w:tcPr>
            <w:tcW w:w="992" w:type="dxa"/>
            <w:tcBorders>
              <w:top w:val="nil"/>
              <w:left w:val="nil"/>
              <w:bottom w:val="single" w:sz="4" w:space="0" w:color="auto"/>
              <w:right w:val="nil"/>
            </w:tcBorders>
            <w:vAlign w:val="center"/>
          </w:tcPr>
          <w:p w14:paraId="5726B4D5" w14:textId="77777777" w:rsidR="007539B9" w:rsidRPr="005D5457" w:rsidRDefault="007539B9" w:rsidP="007539B9">
            <w:pPr>
              <w:spacing w:line="276" w:lineRule="auto"/>
              <w:jc w:val="center"/>
              <w:rPr>
                <w:rFonts w:cstheme="minorHAnsi"/>
              </w:rPr>
            </w:pPr>
            <w:r w:rsidRPr="005D5457">
              <w:rPr>
                <w:rFonts w:cstheme="minorHAnsi"/>
              </w:rPr>
              <w:t>44</w:t>
            </w:r>
          </w:p>
        </w:tc>
      </w:tr>
      <w:tr w:rsidR="007539B9" w:rsidRPr="005D5457" w14:paraId="607DC1DF" w14:textId="77777777" w:rsidTr="007539B9">
        <w:tc>
          <w:tcPr>
            <w:tcW w:w="4820" w:type="dxa"/>
            <w:gridSpan w:val="3"/>
            <w:tcBorders>
              <w:left w:val="nil"/>
              <w:bottom w:val="single" w:sz="4" w:space="0" w:color="auto"/>
              <w:right w:val="nil"/>
            </w:tcBorders>
            <w:shd w:val="clear" w:color="auto" w:fill="F2F2F2" w:themeFill="background1" w:themeFillShade="F2"/>
            <w:vAlign w:val="center"/>
          </w:tcPr>
          <w:p w14:paraId="6AA1E93D" w14:textId="77777777" w:rsidR="007539B9" w:rsidRPr="005D5457" w:rsidRDefault="007539B9" w:rsidP="007539B9">
            <w:pPr>
              <w:spacing w:line="276" w:lineRule="auto"/>
              <w:rPr>
                <w:rFonts w:cstheme="minorHAnsi"/>
                <w:b/>
              </w:rPr>
            </w:pPr>
            <w:r w:rsidRPr="005D5457">
              <w:rPr>
                <w:rFonts w:cstheme="minorHAnsi"/>
                <w:b/>
              </w:rPr>
              <w:t>Gender</w:t>
            </w:r>
          </w:p>
        </w:tc>
      </w:tr>
      <w:tr w:rsidR="007539B9" w:rsidRPr="005D5457" w14:paraId="72DA2C0C" w14:textId="77777777" w:rsidTr="007539B9">
        <w:tc>
          <w:tcPr>
            <w:tcW w:w="2410" w:type="dxa"/>
            <w:tcBorders>
              <w:left w:val="nil"/>
              <w:bottom w:val="nil"/>
              <w:right w:val="nil"/>
            </w:tcBorders>
            <w:vAlign w:val="center"/>
          </w:tcPr>
          <w:p w14:paraId="53836A64" w14:textId="77777777" w:rsidR="007539B9" w:rsidRPr="005D5457" w:rsidRDefault="007539B9" w:rsidP="007539B9">
            <w:pPr>
              <w:spacing w:line="276" w:lineRule="auto"/>
              <w:rPr>
                <w:rFonts w:cstheme="minorHAnsi"/>
              </w:rPr>
            </w:pPr>
            <w:r w:rsidRPr="005D5457">
              <w:rPr>
                <w:rFonts w:cstheme="minorHAnsi"/>
              </w:rPr>
              <w:t>Female</w:t>
            </w:r>
          </w:p>
        </w:tc>
        <w:tc>
          <w:tcPr>
            <w:tcW w:w="1418" w:type="dxa"/>
            <w:tcBorders>
              <w:left w:val="nil"/>
              <w:bottom w:val="nil"/>
              <w:right w:val="nil"/>
            </w:tcBorders>
            <w:vAlign w:val="center"/>
          </w:tcPr>
          <w:p w14:paraId="73956B1F" w14:textId="77777777" w:rsidR="007539B9" w:rsidRPr="005D5457" w:rsidRDefault="007539B9" w:rsidP="007539B9">
            <w:pPr>
              <w:spacing w:line="276" w:lineRule="auto"/>
              <w:jc w:val="center"/>
              <w:rPr>
                <w:rFonts w:cstheme="minorHAnsi"/>
              </w:rPr>
            </w:pPr>
            <w:r w:rsidRPr="005D5457">
              <w:rPr>
                <w:rFonts w:cstheme="minorHAnsi"/>
              </w:rPr>
              <w:t>31</w:t>
            </w:r>
          </w:p>
        </w:tc>
        <w:tc>
          <w:tcPr>
            <w:tcW w:w="992" w:type="dxa"/>
            <w:tcBorders>
              <w:left w:val="nil"/>
              <w:bottom w:val="nil"/>
              <w:right w:val="nil"/>
            </w:tcBorders>
            <w:vAlign w:val="center"/>
          </w:tcPr>
          <w:p w14:paraId="463B7A93" w14:textId="77777777" w:rsidR="007539B9" w:rsidRPr="005D5457" w:rsidRDefault="007539B9" w:rsidP="007539B9">
            <w:pPr>
              <w:spacing w:line="276" w:lineRule="auto"/>
              <w:jc w:val="center"/>
              <w:rPr>
                <w:rFonts w:cstheme="minorHAnsi"/>
              </w:rPr>
            </w:pPr>
            <w:r w:rsidRPr="005D5457">
              <w:rPr>
                <w:rFonts w:cstheme="minorHAnsi"/>
              </w:rPr>
              <w:t>62</w:t>
            </w:r>
          </w:p>
        </w:tc>
      </w:tr>
      <w:tr w:rsidR="007539B9" w:rsidRPr="005D5457" w14:paraId="661226AC" w14:textId="77777777" w:rsidTr="007539B9">
        <w:tc>
          <w:tcPr>
            <w:tcW w:w="2410" w:type="dxa"/>
            <w:tcBorders>
              <w:top w:val="nil"/>
              <w:left w:val="nil"/>
              <w:bottom w:val="single" w:sz="4" w:space="0" w:color="auto"/>
              <w:right w:val="nil"/>
            </w:tcBorders>
            <w:vAlign w:val="center"/>
          </w:tcPr>
          <w:p w14:paraId="36D8AF9D" w14:textId="77777777" w:rsidR="007539B9" w:rsidRPr="005D5457" w:rsidRDefault="007539B9" w:rsidP="007539B9">
            <w:pPr>
              <w:spacing w:line="276" w:lineRule="auto"/>
              <w:rPr>
                <w:rFonts w:cstheme="minorHAnsi"/>
              </w:rPr>
            </w:pPr>
            <w:r w:rsidRPr="005D5457">
              <w:rPr>
                <w:rFonts w:cstheme="minorHAnsi"/>
              </w:rPr>
              <w:t>Male</w:t>
            </w:r>
          </w:p>
        </w:tc>
        <w:tc>
          <w:tcPr>
            <w:tcW w:w="1418" w:type="dxa"/>
            <w:tcBorders>
              <w:top w:val="nil"/>
              <w:left w:val="nil"/>
              <w:bottom w:val="single" w:sz="4" w:space="0" w:color="auto"/>
              <w:right w:val="nil"/>
            </w:tcBorders>
            <w:vAlign w:val="center"/>
          </w:tcPr>
          <w:p w14:paraId="31D5D933" w14:textId="77777777" w:rsidR="007539B9" w:rsidRPr="005D5457" w:rsidRDefault="007539B9" w:rsidP="007539B9">
            <w:pPr>
              <w:spacing w:line="276" w:lineRule="auto"/>
              <w:jc w:val="center"/>
              <w:rPr>
                <w:rFonts w:cstheme="minorHAnsi"/>
              </w:rPr>
            </w:pPr>
            <w:r w:rsidRPr="005D5457">
              <w:rPr>
                <w:rFonts w:cstheme="minorHAnsi"/>
              </w:rPr>
              <w:t>19</w:t>
            </w:r>
          </w:p>
        </w:tc>
        <w:tc>
          <w:tcPr>
            <w:tcW w:w="992" w:type="dxa"/>
            <w:tcBorders>
              <w:top w:val="nil"/>
              <w:left w:val="nil"/>
              <w:bottom w:val="single" w:sz="4" w:space="0" w:color="auto"/>
              <w:right w:val="nil"/>
            </w:tcBorders>
            <w:vAlign w:val="center"/>
          </w:tcPr>
          <w:p w14:paraId="73FA5816" w14:textId="77777777" w:rsidR="007539B9" w:rsidRPr="005D5457" w:rsidRDefault="007539B9" w:rsidP="007539B9">
            <w:pPr>
              <w:spacing w:line="276" w:lineRule="auto"/>
              <w:jc w:val="center"/>
              <w:rPr>
                <w:rFonts w:cstheme="minorHAnsi"/>
              </w:rPr>
            </w:pPr>
            <w:r w:rsidRPr="005D5457">
              <w:rPr>
                <w:rFonts w:cstheme="minorHAnsi"/>
              </w:rPr>
              <w:t>38</w:t>
            </w:r>
          </w:p>
        </w:tc>
      </w:tr>
    </w:tbl>
    <w:p w14:paraId="119B55B0" w14:textId="12EB5E7A" w:rsidR="005D5457" w:rsidRDefault="005D5457" w:rsidP="007539B9">
      <w:pPr>
        <w:rPr>
          <w:rFonts w:eastAsiaTheme="minorEastAsia" w:cstheme="minorHAnsi"/>
          <w:noProof/>
          <w:sz w:val="24"/>
          <w:szCs w:val="24"/>
          <w:lang w:eastAsia="zh-CN"/>
        </w:rPr>
      </w:pPr>
      <w:r w:rsidRPr="005D5457">
        <w:rPr>
          <w:rFonts w:ascii="Times New Roman" w:hAnsi="Times New Roman" w:cs="Times New Roman"/>
          <w:sz w:val="24"/>
          <w:szCs w:val="24"/>
        </w:rPr>
        <w:t xml:space="preserve"> </w:t>
      </w:r>
    </w:p>
    <w:p w14:paraId="281FDA25" w14:textId="77777777" w:rsidR="005D5457" w:rsidRPr="005D5457" w:rsidRDefault="005D5457" w:rsidP="005D5457">
      <w:pPr>
        <w:rPr>
          <w:rFonts w:eastAsiaTheme="minorEastAsia" w:cstheme="minorHAnsi"/>
          <w:sz w:val="24"/>
          <w:szCs w:val="24"/>
          <w:lang w:eastAsia="zh-CN"/>
        </w:rPr>
      </w:pPr>
    </w:p>
    <w:p w14:paraId="52434A2B" w14:textId="77777777" w:rsidR="005D5457" w:rsidRPr="005D5457" w:rsidRDefault="005D5457" w:rsidP="005D5457">
      <w:pPr>
        <w:rPr>
          <w:rFonts w:eastAsiaTheme="minorEastAsia" w:cstheme="minorHAnsi"/>
          <w:sz w:val="24"/>
          <w:szCs w:val="24"/>
          <w:lang w:eastAsia="zh-CN"/>
        </w:rPr>
      </w:pPr>
    </w:p>
    <w:p w14:paraId="4C600F82" w14:textId="77777777" w:rsidR="005D5457" w:rsidRPr="005D5457" w:rsidRDefault="005D5457" w:rsidP="005D5457">
      <w:pPr>
        <w:rPr>
          <w:rFonts w:eastAsiaTheme="minorEastAsia" w:cstheme="minorHAnsi"/>
          <w:sz w:val="24"/>
          <w:szCs w:val="24"/>
          <w:lang w:eastAsia="zh-CN"/>
        </w:rPr>
      </w:pPr>
    </w:p>
    <w:p w14:paraId="565E00AC" w14:textId="77777777" w:rsidR="005D5457" w:rsidRPr="005D5457" w:rsidRDefault="005D5457" w:rsidP="005D5457">
      <w:pPr>
        <w:rPr>
          <w:rFonts w:eastAsiaTheme="minorEastAsia" w:cstheme="minorHAnsi"/>
          <w:sz w:val="24"/>
          <w:szCs w:val="24"/>
          <w:lang w:eastAsia="zh-CN"/>
        </w:rPr>
      </w:pPr>
    </w:p>
    <w:p w14:paraId="6DA8F40A" w14:textId="77777777" w:rsidR="005D5457" w:rsidRPr="005D5457" w:rsidRDefault="005D5457" w:rsidP="005D5457">
      <w:pPr>
        <w:rPr>
          <w:rFonts w:eastAsiaTheme="minorEastAsia" w:cstheme="minorHAnsi"/>
          <w:sz w:val="24"/>
          <w:szCs w:val="24"/>
          <w:lang w:eastAsia="zh-CN"/>
        </w:rPr>
      </w:pPr>
    </w:p>
    <w:p w14:paraId="77DD1D13" w14:textId="77777777" w:rsidR="005D5457" w:rsidRPr="005D5457" w:rsidRDefault="005D5457" w:rsidP="005D5457">
      <w:pPr>
        <w:rPr>
          <w:rFonts w:eastAsiaTheme="minorEastAsia" w:cstheme="minorHAnsi"/>
          <w:sz w:val="24"/>
          <w:szCs w:val="24"/>
          <w:lang w:eastAsia="zh-CN"/>
        </w:rPr>
      </w:pPr>
    </w:p>
    <w:p w14:paraId="786585F9" w14:textId="71B4E70C" w:rsidR="005D5457" w:rsidRDefault="005D5457" w:rsidP="005D5457">
      <w:pPr>
        <w:rPr>
          <w:rFonts w:eastAsiaTheme="minorEastAsia" w:cstheme="minorHAnsi"/>
          <w:sz w:val="24"/>
          <w:szCs w:val="24"/>
          <w:lang w:eastAsia="zh-CN"/>
        </w:rPr>
      </w:pPr>
    </w:p>
    <w:p w14:paraId="44109B04" w14:textId="30EF66D2" w:rsidR="005D5457" w:rsidRDefault="005D5457" w:rsidP="005D5457">
      <w:pPr>
        <w:rPr>
          <w:rFonts w:eastAsiaTheme="minorEastAsia" w:cstheme="minorHAnsi"/>
          <w:sz w:val="24"/>
          <w:szCs w:val="24"/>
          <w:lang w:eastAsia="zh-CN"/>
        </w:rPr>
      </w:pPr>
    </w:p>
    <w:p w14:paraId="6B486692" w14:textId="3AC799BA" w:rsidR="005D5457" w:rsidRDefault="005D5457" w:rsidP="005D5457">
      <w:pPr>
        <w:rPr>
          <w:rFonts w:eastAsiaTheme="minorEastAsia" w:cstheme="minorHAnsi"/>
          <w:sz w:val="24"/>
          <w:szCs w:val="24"/>
          <w:lang w:eastAsia="zh-CN"/>
        </w:rPr>
      </w:pPr>
    </w:p>
    <w:p w14:paraId="16613CBB" w14:textId="4D86DBCC" w:rsidR="005D5457" w:rsidRDefault="005D5457" w:rsidP="005D5457">
      <w:pPr>
        <w:rPr>
          <w:rFonts w:eastAsiaTheme="minorEastAsia" w:cstheme="minorHAnsi"/>
          <w:sz w:val="24"/>
          <w:szCs w:val="24"/>
          <w:lang w:eastAsia="zh-CN"/>
        </w:rPr>
      </w:pPr>
    </w:p>
    <w:p w14:paraId="49AB0656" w14:textId="35AD4D4E" w:rsidR="005D5457" w:rsidRDefault="005D5457">
      <w:pPr>
        <w:rPr>
          <w:rFonts w:eastAsiaTheme="minorEastAsia" w:cstheme="minorHAnsi"/>
          <w:sz w:val="24"/>
          <w:szCs w:val="24"/>
          <w:lang w:eastAsia="zh-CN"/>
        </w:rPr>
      </w:pPr>
      <w:r>
        <w:rPr>
          <w:rFonts w:eastAsiaTheme="minorEastAsia" w:cstheme="minorHAnsi"/>
          <w:sz w:val="24"/>
          <w:szCs w:val="24"/>
          <w:lang w:eastAsia="zh-CN"/>
        </w:rPr>
        <w:br w:type="page"/>
      </w:r>
    </w:p>
    <w:p w14:paraId="604F638F" w14:textId="77777777" w:rsidR="005D5457" w:rsidRPr="005D5457" w:rsidRDefault="005D5457" w:rsidP="005D5457">
      <w:pPr>
        <w:spacing w:before="120" w:after="0" w:line="240" w:lineRule="auto"/>
        <w:ind w:right="-896"/>
        <w:rPr>
          <w:rFonts w:cstheme="minorHAnsi"/>
        </w:rPr>
      </w:pPr>
    </w:p>
    <w:p w14:paraId="60AB45AE" w14:textId="77777777" w:rsidR="005D5457" w:rsidRPr="005D5457" w:rsidRDefault="005D5457" w:rsidP="005D5457">
      <w:pPr>
        <w:spacing w:before="120" w:after="0" w:line="240" w:lineRule="auto"/>
        <w:ind w:right="-896"/>
        <w:rPr>
          <w:rFonts w:cstheme="minorHAnsi"/>
        </w:rPr>
      </w:pPr>
    </w:p>
    <w:p w14:paraId="259D1129" w14:textId="42E0402E" w:rsidR="005D5457" w:rsidRPr="005D5457" w:rsidRDefault="007539B9" w:rsidP="005D5457">
      <w:pPr>
        <w:spacing w:before="120" w:after="120" w:line="240" w:lineRule="auto"/>
        <w:ind w:right="96"/>
        <w:rPr>
          <w:rFonts w:cstheme="minorHAnsi"/>
        </w:rPr>
      </w:pPr>
      <w:r w:rsidRPr="000B393F">
        <w:rPr>
          <w:rFonts w:cstheme="minorHAnsi"/>
          <w:b/>
          <w:sz w:val="24"/>
          <w:szCs w:val="24"/>
        </w:rPr>
        <w:t>Table 3:</w:t>
      </w:r>
      <w:r w:rsidRPr="000B393F">
        <w:rPr>
          <w:rFonts w:cstheme="minorHAnsi"/>
          <w:sz w:val="24"/>
          <w:szCs w:val="24"/>
        </w:rPr>
        <w:t xml:space="preserve"> Responses to the question of what services were provided from the list below, either by staff within or external to the pharmacy. If neither, no response was recorded.</w:t>
      </w:r>
    </w:p>
    <w:tbl>
      <w:tblPr>
        <w:tblW w:w="0" w:type="auto"/>
        <w:tblCellSpacing w:w="15"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1559"/>
        <w:gridCol w:w="283"/>
        <w:gridCol w:w="1701"/>
        <w:gridCol w:w="1655"/>
      </w:tblGrid>
      <w:tr w:rsidR="005D5457" w:rsidRPr="005D5457" w14:paraId="45C6BF29" w14:textId="77777777" w:rsidTr="00F8399F">
        <w:trPr>
          <w:tblCellSpacing w:w="15" w:type="dxa"/>
        </w:trPr>
        <w:tc>
          <w:tcPr>
            <w:tcW w:w="3783" w:type="dxa"/>
            <w:vAlign w:val="center"/>
            <w:hideMark/>
          </w:tcPr>
          <w:p w14:paraId="15A8096B" w14:textId="77777777" w:rsidR="005D5457" w:rsidRPr="005D5457" w:rsidRDefault="005D5457" w:rsidP="005D5457">
            <w:pPr>
              <w:spacing w:after="0" w:line="240" w:lineRule="auto"/>
              <w:rPr>
                <w:rFonts w:eastAsia="Times New Roman" w:cs="Times New Roman"/>
                <w:b/>
                <w:lang w:eastAsia="en-AU"/>
              </w:rPr>
            </w:pPr>
            <w:r w:rsidRPr="005D5457">
              <w:rPr>
                <w:rFonts w:eastAsia="Times New Roman" w:cs="Times New Roman"/>
                <w:b/>
                <w:lang w:eastAsia="en-AU"/>
              </w:rPr>
              <w:t>Professional</w:t>
            </w:r>
          </w:p>
          <w:p w14:paraId="6A7E1833" w14:textId="77777777" w:rsidR="005D5457" w:rsidRPr="005D5457" w:rsidRDefault="005D5457" w:rsidP="005D5457">
            <w:pPr>
              <w:spacing w:after="0" w:line="240" w:lineRule="auto"/>
              <w:rPr>
                <w:rFonts w:eastAsia="Times New Roman" w:cs="Times New Roman"/>
                <w:b/>
                <w:lang w:eastAsia="en-AU"/>
              </w:rPr>
            </w:pPr>
            <w:r w:rsidRPr="005D5457">
              <w:rPr>
                <w:rFonts w:eastAsia="Times New Roman" w:cs="Times New Roman"/>
                <w:b/>
                <w:lang w:eastAsia="en-AU"/>
              </w:rPr>
              <w:t>Service Offered</w:t>
            </w:r>
          </w:p>
        </w:tc>
        <w:tc>
          <w:tcPr>
            <w:tcW w:w="1529" w:type="dxa"/>
            <w:vAlign w:val="center"/>
            <w:hideMark/>
          </w:tcPr>
          <w:p w14:paraId="02733D90" w14:textId="77777777" w:rsidR="005D5457" w:rsidRPr="005D5457" w:rsidRDefault="005D5457" w:rsidP="005D5457">
            <w:pPr>
              <w:spacing w:after="0" w:line="240" w:lineRule="auto"/>
              <w:jc w:val="center"/>
              <w:rPr>
                <w:rFonts w:eastAsia="Times New Roman" w:cs="Times New Roman"/>
                <w:b/>
                <w:lang w:eastAsia="en-AU"/>
              </w:rPr>
            </w:pPr>
            <w:r w:rsidRPr="005D5457">
              <w:rPr>
                <w:rFonts w:eastAsia="Times New Roman" w:cs="Times New Roman"/>
                <w:b/>
                <w:lang w:eastAsia="en-AU"/>
              </w:rPr>
              <w:t>Delivered by Pharmacist or Pharmacy Staff</w:t>
            </w:r>
          </w:p>
        </w:tc>
        <w:tc>
          <w:tcPr>
            <w:tcW w:w="1954" w:type="dxa"/>
            <w:gridSpan w:val="2"/>
            <w:vAlign w:val="center"/>
            <w:hideMark/>
          </w:tcPr>
          <w:p w14:paraId="1A0D7968" w14:textId="77777777" w:rsidR="005D5457" w:rsidRPr="005D5457" w:rsidRDefault="005D5457" w:rsidP="005D5457">
            <w:pPr>
              <w:spacing w:after="0" w:line="240" w:lineRule="auto"/>
              <w:jc w:val="center"/>
              <w:rPr>
                <w:rFonts w:eastAsia="Times New Roman" w:cs="Times New Roman"/>
                <w:b/>
                <w:lang w:eastAsia="en-AU"/>
              </w:rPr>
            </w:pPr>
            <w:r w:rsidRPr="005D5457">
              <w:rPr>
                <w:rFonts w:eastAsia="Times New Roman" w:cs="Times New Roman"/>
                <w:b/>
                <w:lang w:eastAsia="en-AU"/>
              </w:rPr>
              <w:t>Delivered by</w:t>
            </w:r>
          </w:p>
          <w:p w14:paraId="11F75830" w14:textId="77777777" w:rsidR="005D5457" w:rsidRPr="005D5457" w:rsidRDefault="005D5457" w:rsidP="005D5457">
            <w:pPr>
              <w:spacing w:after="0" w:line="240" w:lineRule="auto"/>
              <w:jc w:val="center"/>
              <w:rPr>
                <w:rFonts w:eastAsia="Times New Roman" w:cs="Times New Roman"/>
                <w:b/>
                <w:lang w:eastAsia="en-AU"/>
              </w:rPr>
            </w:pPr>
            <w:r w:rsidRPr="005D5457">
              <w:rPr>
                <w:rFonts w:eastAsia="Times New Roman" w:cs="Times New Roman"/>
                <w:b/>
                <w:lang w:eastAsia="en-AU"/>
              </w:rPr>
              <w:t>External Providers</w:t>
            </w:r>
          </w:p>
        </w:tc>
        <w:tc>
          <w:tcPr>
            <w:tcW w:w="1610" w:type="dxa"/>
            <w:vAlign w:val="center"/>
            <w:hideMark/>
          </w:tcPr>
          <w:p w14:paraId="58FEE5E7" w14:textId="77777777" w:rsidR="005D5457" w:rsidRPr="005D5457" w:rsidRDefault="005D5457" w:rsidP="005D5457">
            <w:pPr>
              <w:spacing w:after="0" w:line="240" w:lineRule="auto"/>
              <w:jc w:val="center"/>
              <w:rPr>
                <w:rFonts w:eastAsia="Times New Roman" w:cs="Times New Roman"/>
                <w:b/>
                <w:lang w:eastAsia="en-AU"/>
              </w:rPr>
            </w:pPr>
            <w:r w:rsidRPr="005D5457">
              <w:rPr>
                <w:rFonts w:eastAsia="Times New Roman" w:cs="Times New Roman"/>
                <w:b/>
                <w:lang w:eastAsia="en-AU"/>
              </w:rPr>
              <w:t>Did Not Respond</w:t>
            </w:r>
          </w:p>
        </w:tc>
      </w:tr>
      <w:tr w:rsidR="005D5457" w:rsidRPr="005D5457" w14:paraId="5F80CDC8" w14:textId="77777777" w:rsidTr="00F8399F">
        <w:trPr>
          <w:tblCellSpacing w:w="15" w:type="dxa"/>
        </w:trPr>
        <w:tc>
          <w:tcPr>
            <w:tcW w:w="3783" w:type="dxa"/>
            <w:tcBorders>
              <w:top w:val="single" w:sz="4" w:space="0" w:color="auto"/>
              <w:bottom w:val="nil"/>
            </w:tcBorders>
            <w:vAlign w:val="center"/>
            <w:hideMark/>
          </w:tcPr>
          <w:p w14:paraId="74A0657A"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Opioid substitution program</w:t>
            </w:r>
          </w:p>
        </w:tc>
        <w:tc>
          <w:tcPr>
            <w:tcW w:w="1812" w:type="dxa"/>
            <w:gridSpan w:val="2"/>
            <w:tcBorders>
              <w:top w:val="single" w:sz="4" w:space="0" w:color="auto"/>
              <w:bottom w:val="nil"/>
            </w:tcBorders>
            <w:vAlign w:val="center"/>
            <w:hideMark/>
          </w:tcPr>
          <w:p w14:paraId="4861F481"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18 (36%)</w:t>
            </w:r>
          </w:p>
        </w:tc>
        <w:tc>
          <w:tcPr>
            <w:tcW w:w="1671" w:type="dxa"/>
            <w:tcBorders>
              <w:top w:val="single" w:sz="4" w:space="0" w:color="auto"/>
              <w:bottom w:val="nil"/>
            </w:tcBorders>
            <w:vAlign w:val="center"/>
            <w:hideMark/>
          </w:tcPr>
          <w:p w14:paraId="70EDC404"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3 (6%)</w:t>
            </w:r>
          </w:p>
        </w:tc>
        <w:tc>
          <w:tcPr>
            <w:tcW w:w="1610" w:type="dxa"/>
            <w:tcBorders>
              <w:top w:val="single" w:sz="4" w:space="0" w:color="auto"/>
              <w:bottom w:val="nil"/>
            </w:tcBorders>
            <w:vAlign w:val="center"/>
            <w:hideMark/>
          </w:tcPr>
          <w:p w14:paraId="6C85AE68"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29 (58%)</w:t>
            </w:r>
          </w:p>
        </w:tc>
      </w:tr>
      <w:tr w:rsidR="005D5457" w:rsidRPr="005D5457" w14:paraId="2B71CE36" w14:textId="77777777" w:rsidTr="00F8399F">
        <w:trPr>
          <w:tblCellSpacing w:w="15" w:type="dxa"/>
        </w:trPr>
        <w:tc>
          <w:tcPr>
            <w:tcW w:w="3783" w:type="dxa"/>
            <w:vAlign w:val="center"/>
            <w:hideMark/>
          </w:tcPr>
          <w:p w14:paraId="6B635130"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Diabetes educator clinics</w:t>
            </w:r>
          </w:p>
        </w:tc>
        <w:tc>
          <w:tcPr>
            <w:tcW w:w="1812" w:type="dxa"/>
            <w:gridSpan w:val="2"/>
            <w:vAlign w:val="center"/>
            <w:hideMark/>
          </w:tcPr>
          <w:p w14:paraId="5C2E8EFA"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18 (36%)</w:t>
            </w:r>
          </w:p>
        </w:tc>
        <w:tc>
          <w:tcPr>
            <w:tcW w:w="1671" w:type="dxa"/>
            <w:vAlign w:val="center"/>
            <w:hideMark/>
          </w:tcPr>
          <w:p w14:paraId="0130066F"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4 (8%)</w:t>
            </w:r>
          </w:p>
        </w:tc>
        <w:tc>
          <w:tcPr>
            <w:tcW w:w="1610" w:type="dxa"/>
            <w:vAlign w:val="center"/>
            <w:hideMark/>
          </w:tcPr>
          <w:p w14:paraId="2A737C3C"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28 (56%)</w:t>
            </w:r>
          </w:p>
        </w:tc>
      </w:tr>
      <w:tr w:rsidR="005D5457" w:rsidRPr="005D5457" w14:paraId="2316FFC1" w14:textId="77777777" w:rsidTr="00F8399F">
        <w:trPr>
          <w:tblCellSpacing w:w="15" w:type="dxa"/>
        </w:trPr>
        <w:tc>
          <w:tcPr>
            <w:tcW w:w="3783" w:type="dxa"/>
            <w:vAlign w:val="center"/>
            <w:hideMark/>
          </w:tcPr>
          <w:p w14:paraId="4800A660"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 xml:space="preserve">Sleep apnoea </w:t>
            </w:r>
          </w:p>
        </w:tc>
        <w:tc>
          <w:tcPr>
            <w:tcW w:w="1812" w:type="dxa"/>
            <w:gridSpan w:val="2"/>
            <w:vAlign w:val="center"/>
            <w:hideMark/>
          </w:tcPr>
          <w:p w14:paraId="5BFB8E46"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12 (24%)</w:t>
            </w:r>
          </w:p>
        </w:tc>
        <w:tc>
          <w:tcPr>
            <w:tcW w:w="1671" w:type="dxa"/>
            <w:vAlign w:val="center"/>
            <w:hideMark/>
          </w:tcPr>
          <w:p w14:paraId="5C8DEA0C"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3 (6%)</w:t>
            </w:r>
          </w:p>
        </w:tc>
        <w:tc>
          <w:tcPr>
            <w:tcW w:w="1610" w:type="dxa"/>
            <w:vAlign w:val="center"/>
            <w:hideMark/>
          </w:tcPr>
          <w:p w14:paraId="4B58A74D"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35 (70%)</w:t>
            </w:r>
          </w:p>
        </w:tc>
      </w:tr>
      <w:tr w:rsidR="005D5457" w:rsidRPr="005D5457" w14:paraId="51ADC33E" w14:textId="77777777" w:rsidTr="00F8399F">
        <w:trPr>
          <w:tblCellSpacing w:w="15" w:type="dxa"/>
        </w:trPr>
        <w:tc>
          <w:tcPr>
            <w:tcW w:w="3783" w:type="dxa"/>
            <w:vAlign w:val="center"/>
            <w:hideMark/>
          </w:tcPr>
          <w:p w14:paraId="445E4D3B"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Needle syringe program</w:t>
            </w:r>
          </w:p>
        </w:tc>
        <w:tc>
          <w:tcPr>
            <w:tcW w:w="1812" w:type="dxa"/>
            <w:gridSpan w:val="2"/>
            <w:vAlign w:val="center"/>
            <w:hideMark/>
          </w:tcPr>
          <w:p w14:paraId="70C59A29"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28 (56%)</w:t>
            </w:r>
          </w:p>
        </w:tc>
        <w:tc>
          <w:tcPr>
            <w:tcW w:w="1671" w:type="dxa"/>
            <w:vAlign w:val="center"/>
            <w:hideMark/>
          </w:tcPr>
          <w:p w14:paraId="67B80CE8"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3 (6%)</w:t>
            </w:r>
          </w:p>
        </w:tc>
        <w:tc>
          <w:tcPr>
            <w:tcW w:w="1610" w:type="dxa"/>
            <w:vAlign w:val="center"/>
            <w:hideMark/>
          </w:tcPr>
          <w:p w14:paraId="1AD3FD6B"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19 (38%)</w:t>
            </w:r>
          </w:p>
        </w:tc>
      </w:tr>
      <w:tr w:rsidR="005D5457" w:rsidRPr="005D5457" w14:paraId="536BAC11" w14:textId="77777777" w:rsidTr="00F8399F">
        <w:trPr>
          <w:tblCellSpacing w:w="15" w:type="dxa"/>
        </w:trPr>
        <w:tc>
          <w:tcPr>
            <w:tcW w:w="3783" w:type="dxa"/>
            <w:vAlign w:val="center"/>
            <w:hideMark/>
          </w:tcPr>
          <w:p w14:paraId="12280568"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Staged supply</w:t>
            </w:r>
          </w:p>
        </w:tc>
        <w:tc>
          <w:tcPr>
            <w:tcW w:w="1812" w:type="dxa"/>
            <w:gridSpan w:val="2"/>
            <w:vAlign w:val="center"/>
            <w:hideMark/>
          </w:tcPr>
          <w:p w14:paraId="24641F21"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39 (78%)</w:t>
            </w:r>
          </w:p>
        </w:tc>
        <w:tc>
          <w:tcPr>
            <w:tcW w:w="1671" w:type="dxa"/>
            <w:vAlign w:val="center"/>
            <w:hideMark/>
          </w:tcPr>
          <w:p w14:paraId="300AFF3E"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1 (2%)</w:t>
            </w:r>
          </w:p>
        </w:tc>
        <w:tc>
          <w:tcPr>
            <w:tcW w:w="1610" w:type="dxa"/>
            <w:vAlign w:val="center"/>
            <w:hideMark/>
          </w:tcPr>
          <w:p w14:paraId="30EEC797"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10 (20%)</w:t>
            </w:r>
          </w:p>
        </w:tc>
      </w:tr>
      <w:tr w:rsidR="005D5457" w:rsidRPr="005D5457" w14:paraId="15AF50CB" w14:textId="77777777" w:rsidTr="00F8399F">
        <w:trPr>
          <w:tblCellSpacing w:w="15" w:type="dxa"/>
        </w:trPr>
        <w:tc>
          <w:tcPr>
            <w:tcW w:w="3783" w:type="dxa"/>
            <w:vAlign w:val="center"/>
            <w:hideMark/>
          </w:tcPr>
          <w:p w14:paraId="64B4FB90"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Smoking cessation advice and support</w:t>
            </w:r>
          </w:p>
        </w:tc>
        <w:tc>
          <w:tcPr>
            <w:tcW w:w="1812" w:type="dxa"/>
            <w:gridSpan w:val="2"/>
            <w:vAlign w:val="center"/>
            <w:hideMark/>
          </w:tcPr>
          <w:p w14:paraId="0E23B907"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21 (42%)</w:t>
            </w:r>
          </w:p>
        </w:tc>
        <w:tc>
          <w:tcPr>
            <w:tcW w:w="1671" w:type="dxa"/>
            <w:vAlign w:val="center"/>
            <w:hideMark/>
          </w:tcPr>
          <w:p w14:paraId="0B7E02BC"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2 (4%)</w:t>
            </w:r>
          </w:p>
        </w:tc>
        <w:tc>
          <w:tcPr>
            <w:tcW w:w="1610" w:type="dxa"/>
            <w:vAlign w:val="center"/>
            <w:hideMark/>
          </w:tcPr>
          <w:p w14:paraId="7C3B9AD1"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27 (54%)</w:t>
            </w:r>
          </w:p>
        </w:tc>
      </w:tr>
      <w:tr w:rsidR="005D5457" w:rsidRPr="005D5457" w14:paraId="25088B12" w14:textId="77777777" w:rsidTr="00F8399F">
        <w:trPr>
          <w:tblCellSpacing w:w="15" w:type="dxa"/>
        </w:trPr>
        <w:tc>
          <w:tcPr>
            <w:tcW w:w="3783" w:type="dxa"/>
            <w:vAlign w:val="center"/>
            <w:hideMark/>
          </w:tcPr>
          <w:p w14:paraId="01BB41CF"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Weight loss programs</w:t>
            </w:r>
          </w:p>
        </w:tc>
        <w:tc>
          <w:tcPr>
            <w:tcW w:w="1812" w:type="dxa"/>
            <w:gridSpan w:val="2"/>
            <w:vAlign w:val="center"/>
            <w:hideMark/>
          </w:tcPr>
          <w:p w14:paraId="07D84F4F"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33 (66%)</w:t>
            </w:r>
          </w:p>
        </w:tc>
        <w:tc>
          <w:tcPr>
            <w:tcW w:w="1671" w:type="dxa"/>
            <w:vAlign w:val="center"/>
            <w:hideMark/>
          </w:tcPr>
          <w:p w14:paraId="10674A85"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1 (2%)</w:t>
            </w:r>
          </w:p>
        </w:tc>
        <w:tc>
          <w:tcPr>
            <w:tcW w:w="1610" w:type="dxa"/>
            <w:vAlign w:val="center"/>
            <w:hideMark/>
          </w:tcPr>
          <w:p w14:paraId="65A278FE"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16 (32%)</w:t>
            </w:r>
          </w:p>
        </w:tc>
      </w:tr>
      <w:tr w:rsidR="005D5457" w:rsidRPr="005D5457" w14:paraId="018C5CDC" w14:textId="77777777" w:rsidTr="00F8399F">
        <w:trPr>
          <w:tblCellSpacing w:w="15" w:type="dxa"/>
        </w:trPr>
        <w:tc>
          <w:tcPr>
            <w:tcW w:w="3783" w:type="dxa"/>
            <w:vAlign w:val="center"/>
            <w:hideMark/>
          </w:tcPr>
          <w:p w14:paraId="53CBE4CA"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Immunisation</w:t>
            </w:r>
          </w:p>
        </w:tc>
        <w:tc>
          <w:tcPr>
            <w:tcW w:w="1812" w:type="dxa"/>
            <w:gridSpan w:val="2"/>
            <w:vAlign w:val="center"/>
            <w:hideMark/>
          </w:tcPr>
          <w:p w14:paraId="5014FC83"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41 (82%)</w:t>
            </w:r>
          </w:p>
        </w:tc>
        <w:tc>
          <w:tcPr>
            <w:tcW w:w="1671" w:type="dxa"/>
            <w:vAlign w:val="center"/>
            <w:hideMark/>
          </w:tcPr>
          <w:p w14:paraId="50281358"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0</w:t>
            </w:r>
          </w:p>
        </w:tc>
        <w:tc>
          <w:tcPr>
            <w:tcW w:w="1610" w:type="dxa"/>
            <w:vAlign w:val="center"/>
            <w:hideMark/>
          </w:tcPr>
          <w:p w14:paraId="2C7AE412"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9 (18%)</w:t>
            </w:r>
          </w:p>
        </w:tc>
      </w:tr>
      <w:tr w:rsidR="005D5457" w:rsidRPr="005D5457" w14:paraId="5707980F" w14:textId="77777777" w:rsidTr="00F8399F">
        <w:trPr>
          <w:tblCellSpacing w:w="15" w:type="dxa"/>
        </w:trPr>
        <w:tc>
          <w:tcPr>
            <w:tcW w:w="3783" w:type="dxa"/>
            <w:vAlign w:val="center"/>
            <w:hideMark/>
          </w:tcPr>
          <w:p w14:paraId="00D320FE"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Meds Checks / Diabetes Checks</w:t>
            </w:r>
          </w:p>
        </w:tc>
        <w:tc>
          <w:tcPr>
            <w:tcW w:w="1812" w:type="dxa"/>
            <w:gridSpan w:val="2"/>
            <w:vAlign w:val="center"/>
            <w:hideMark/>
          </w:tcPr>
          <w:p w14:paraId="3EA5652D"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46 (92%)</w:t>
            </w:r>
          </w:p>
        </w:tc>
        <w:tc>
          <w:tcPr>
            <w:tcW w:w="1671" w:type="dxa"/>
            <w:vAlign w:val="center"/>
            <w:hideMark/>
          </w:tcPr>
          <w:p w14:paraId="6A273776"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0</w:t>
            </w:r>
          </w:p>
        </w:tc>
        <w:tc>
          <w:tcPr>
            <w:tcW w:w="1610" w:type="dxa"/>
            <w:vAlign w:val="center"/>
            <w:hideMark/>
          </w:tcPr>
          <w:p w14:paraId="7D879FBA"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4 (8%)</w:t>
            </w:r>
          </w:p>
        </w:tc>
      </w:tr>
      <w:tr w:rsidR="005D5457" w:rsidRPr="005D5457" w14:paraId="026BAEB1" w14:textId="77777777" w:rsidTr="00F8399F">
        <w:trPr>
          <w:tblCellSpacing w:w="15" w:type="dxa"/>
        </w:trPr>
        <w:tc>
          <w:tcPr>
            <w:tcW w:w="3783" w:type="dxa"/>
            <w:vAlign w:val="center"/>
            <w:hideMark/>
          </w:tcPr>
          <w:p w14:paraId="59614A18"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Dose Administration Aids</w:t>
            </w:r>
          </w:p>
        </w:tc>
        <w:tc>
          <w:tcPr>
            <w:tcW w:w="1812" w:type="dxa"/>
            <w:gridSpan w:val="2"/>
            <w:vAlign w:val="center"/>
            <w:hideMark/>
          </w:tcPr>
          <w:p w14:paraId="046461F9"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26 (52%)</w:t>
            </w:r>
          </w:p>
        </w:tc>
        <w:tc>
          <w:tcPr>
            <w:tcW w:w="1671" w:type="dxa"/>
            <w:vAlign w:val="center"/>
            <w:hideMark/>
          </w:tcPr>
          <w:p w14:paraId="1A0F4C79"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3 (6%)</w:t>
            </w:r>
          </w:p>
        </w:tc>
        <w:tc>
          <w:tcPr>
            <w:tcW w:w="1610" w:type="dxa"/>
            <w:vAlign w:val="center"/>
            <w:hideMark/>
          </w:tcPr>
          <w:p w14:paraId="57F58E94"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21 (42%)</w:t>
            </w:r>
          </w:p>
        </w:tc>
      </w:tr>
      <w:tr w:rsidR="005D5457" w:rsidRPr="005D5457" w14:paraId="5699449A" w14:textId="77777777" w:rsidTr="00F8399F">
        <w:trPr>
          <w:tblCellSpacing w:w="15" w:type="dxa"/>
        </w:trPr>
        <w:tc>
          <w:tcPr>
            <w:tcW w:w="3783" w:type="dxa"/>
            <w:vAlign w:val="center"/>
            <w:hideMark/>
          </w:tcPr>
          <w:p w14:paraId="7819777E"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COPD screening</w:t>
            </w:r>
          </w:p>
        </w:tc>
        <w:tc>
          <w:tcPr>
            <w:tcW w:w="1812" w:type="dxa"/>
            <w:gridSpan w:val="2"/>
            <w:vAlign w:val="center"/>
            <w:hideMark/>
          </w:tcPr>
          <w:p w14:paraId="040A09A7"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 xml:space="preserve">    3 (6%)</w:t>
            </w:r>
          </w:p>
        </w:tc>
        <w:tc>
          <w:tcPr>
            <w:tcW w:w="1671" w:type="dxa"/>
            <w:vAlign w:val="center"/>
            <w:hideMark/>
          </w:tcPr>
          <w:p w14:paraId="1020ECDD"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2 (4%)</w:t>
            </w:r>
          </w:p>
        </w:tc>
        <w:tc>
          <w:tcPr>
            <w:tcW w:w="1610" w:type="dxa"/>
            <w:vAlign w:val="center"/>
            <w:hideMark/>
          </w:tcPr>
          <w:p w14:paraId="5A2B9FAB"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45 (90%)</w:t>
            </w:r>
          </w:p>
        </w:tc>
      </w:tr>
      <w:tr w:rsidR="005D5457" w:rsidRPr="005D5457" w14:paraId="4FF0B534" w14:textId="77777777" w:rsidTr="00F8399F">
        <w:trPr>
          <w:tblCellSpacing w:w="15" w:type="dxa"/>
        </w:trPr>
        <w:tc>
          <w:tcPr>
            <w:tcW w:w="3783" w:type="dxa"/>
            <w:vAlign w:val="center"/>
            <w:hideMark/>
          </w:tcPr>
          <w:p w14:paraId="50E9ADD9"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Compounding</w:t>
            </w:r>
          </w:p>
        </w:tc>
        <w:tc>
          <w:tcPr>
            <w:tcW w:w="1812" w:type="dxa"/>
            <w:gridSpan w:val="2"/>
            <w:vAlign w:val="center"/>
            <w:hideMark/>
          </w:tcPr>
          <w:p w14:paraId="2FBF38DF"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31 (62%)</w:t>
            </w:r>
          </w:p>
        </w:tc>
        <w:tc>
          <w:tcPr>
            <w:tcW w:w="1671" w:type="dxa"/>
            <w:vAlign w:val="center"/>
            <w:hideMark/>
          </w:tcPr>
          <w:p w14:paraId="55F59116"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5 (10%)</w:t>
            </w:r>
          </w:p>
        </w:tc>
        <w:tc>
          <w:tcPr>
            <w:tcW w:w="1610" w:type="dxa"/>
            <w:vAlign w:val="center"/>
            <w:hideMark/>
          </w:tcPr>
          <w:p w14:paraId="48CBDD2C"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14 (28%)</w:t>
            </w:r>
          </w:p>
        </w:tc>
      </w:tr>
      <w:tr w:rsidR="005D5457" w:rsidRPr="005D5457" w14:paraId="00E0445E" w14:textId="77777777" w:rsidTr="00F8399F">
        <w:trPr>
          <w:tblCellSpacing w:w="15" w:type="dxa"/>
        </w:trPr>
        <w:tc>
          <w:tcPr>
            <w:tcW w:w="3783" w:type="dxa"/>
            <w:vAlign w:val="center"/>
            <w:hideMark/>
          </w:tcPr>
          <w:p w14:paraId="60646C06"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Clinical interventions</w:t>
            </w:r>
          </w:p>
        </w:tc>
        <w:tc>
          <w:tcPr>
            <w:tcW w:w="1812" w:type="dxa"/>
            <w:gridSpan w:val="2"/>
            <w:vAlign w:val="center"/>
            <w:hideMark/>
          </w:tcPr>
          <w:p w14:paraId="0790FDBF"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47 (94%)</w:t>
            </w:r>
          </w:p>
        </w:tc>
        <w:tc>
          <w:tcPr>
            <w:tcW w:w="1671" w:type="dxa"/>
            <w:vAlign w:val="center"/>
            <w:hideMark/>
          </w:tcPr>
          <w:p w14:paraId="60633A83"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0</w:t>
            </w:r>
          </w:p>
        </w:tc>
        <w:tc>
          <w:tcPr>
            <w:tcW w:w="1610" w:type="dxa"/>
            <w:vAlign w:val="center"/>
            <w:hideMark/>
          </w:tcPr>
          <w:p w14:paraId="59C8A149"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3 (6%)</w:t>
            </w:r>
          </w:p>
        </w:tc>
      </w:tr>
      <w:tr w:rsidR="005D5457" w:rsidRPr="005D5457" w14:paraId="56086A30" w14:textId="77777777" w:rsidTr="00F8399F">
        <w:trPr>
          <w:tblCellSpacing w:w="15" w:type="dxa"/>
        </w:trPr>
        <w:tc>
          <w:tcPr>
            <w:tcW w:w="3783" w:type="dxa"/>
            <w:vAlign w:val="center"/>
            <w:hideMark/>
          </w:tcPr>
          <w:p w14:paraId="36AB6B45"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INR monitoring</w:t>
            </w:r>
          </w:p>
        </w:tc>
        <w:tc>
          <w:tcPr>
            <w:tcW w:w="1812" w:type="dxa"/>
            <w:gridSpan w:val="2"/>
            <w:vAlign w:val="center"/>
            <w:hideMark/>
          </w:tcPr>
          <w:p w14:paraId="693EF47B"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 xml:space="preserve">    1 (2%)</w:t>
            </w:r>
          </w:p>
        </w:tc>
        <w:tc>
          <w:tcPr>
            <w:tcW w:w="1671" w:type="dxa"/>
            <w:vAlign w:val="center"/>
            <w:hideMark/>
          </w:tcPr>
          <w:p w14:paraId="2F3603C0"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6 (12%)</w:t>
            </w:r>
          </w:p>
        </w:tc>
        <w:tc>
          <w:tcPr>
            <w:tcW w:w="1610" w:type="dxa"/>
            <w:vAlign w:val="center"/>
            <w:hideMark/>
          </w:tcPr>
          <w:p w14:paraId="463ABA43"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43 (86%)</w:t>
            </w:r>
          </w:p>
        </w:tc>
      </w:tr>
      <w:tr w:rsidR="005D5457" w:rsidRPr="005D5457" w14:paraId="7B55548F" w14:textId="77777777" w:rsidTr="00F8399F">
        <w:trPr>
          <w:tblCellSpacing w:w="15" w:type="dxa"/>
        </w:trPr>
        <w:tc>
          <w:tcPr>
            <w:tcW w:w="3783" w:type="dxa"/>
            <w:vAlign w:val="center"/>
            <w:hideMark/>
          </w:tcPr>
          <w:p w14:paraId="1BDEA914"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HMR/RMMR</w:t>
            </w:r>
          </w:p>
        </w:tc>
        <w:tc>
          <w:tcPr>
            <w:tcW w:w="1812" w:type="dxa"/>
            <w:gridSpan w:val="2"/>
            <w:vAlign w:val="center"/>
            <w:hideMark/>
          </w:tcPr>
          <w:p w14:paraId="48091E7C"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22 (44%)</w:t>
            </w:r>
          </w:p>
        </w:tc>
        <w:tc>
          <w:tcPr>
            <w:tcW w:w="1671" w:type="dxa"/>
            <w:vAlign w:val="center"/>
            <w:hideMark/>
          </w:tcPr>
          <w:p w14:paraId="20E35A0F"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20 (40%)</w:t>
            </w:r>
          </w:p>
        </w:tc>
        <w:tc>
          <w:tcPr>
            <w:tcW w:w="1610" w:type="dxa"/>
            <w:vAlign w:val="center"/>
            <w:hideMark/>
          </w:tcPr>
          <w:p w14:paraId="4D02B136"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8 (16%)</w:t>
            </w:r>
          </w:p>
        </w:tc>
      </w:tr>
      <w:tr w:rsidR="005D5457" w:rsidRPr="005D5457" w14:paraId="3ECE1CED" w14:textId="77777777" w:rsidTr="00F8399F">
        <w:trPr>
          <w:tblCellSpacing w:w="15" w:type="dxa"/>
        </w:trPr>
        <w:tc>
          <w:tcPr>
            <w:tcW w:w="3783" w:type="dxa"/>
            <w:vAlign w:val="center"/>
            <w:hideMark/>
          </w:tcPr>
          <w:p w14:paraId="1399DA07"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Blood cholesterol monitoring</w:t>
            </w:r>
          </w:p>
        </w:tc>
        <w:tc>
          <w:tcPr>
            <w:tcW w:w="1812" w:type="dxa"/>
            <w:gridSpan w:val="2"/>
            <w:vAlign w:val="center"/>
            <w:hideMark/>
          </w:tcPr>
          <w:p w14:paraId="104DFD90"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15 (30%)</w:t>
            </w:r>
          </w:p>
        </w:tc>
        <w:tc>
          <w:tcPr>
            <w:tcW w:w="1671" w:type="dxa"/>
            <w:vAlign w:val="center"/>
            <w:hideMark/>
          </w:tcPr>
          <w:p w14:paraId="1B052793"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3 (6%)</w:t>
            </w:r>
          </w:p>
        </w:tc>
        <w:tc>
          <w:tcPr>
            <w:tcW w:w="1610" w:type="dxa"/>
            <w:vAlign w:val="center"/>
            <w:hideMark/>
          </w:tcPr>
          <w:p w14:paraId="2FCBF6F7"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32 (64%)</w:t>
            </w:r>
          </w:p>
        </w:tc>
      </w:tr>
      <w:tr w:rsidR="005D5457" w:rsidRPr="005D5457" w14:paraId="59E36E6F" w14:textId="77777777" w:rsidTr="00F8399F">
        <w:trPr>
          <w:tblCellSpacing w:w="15" w:type="dxa"/>
        </w:trPr>
        <w:tc>
          <w:tcPr>
            <w:tcW w:w="3783" w:type="dxa"/>
            <w:vAlign w:val="center"/>
            <w:hideMark/>
          </w:tcPr>
          <w:p w14:paraId="0438769C"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Blood glucose monitoring</w:t>
            </w:r>
          </w:p>
        </w:tc>
        <w:tc>
          <w:tcPr>
            <w:tcW w:w="1812" w:type="dxa"/>
            <w:gridSpan w:val="2"/>
            <w:vAlign w:val="center"/>
            <w:hideMark/>
          </w:tcPr>
          <w:p w14:paraId="052AEF3B"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33 (66%)</w:t>
            </w:r>
          </w:p>
        </w:tc>
        <w:tc>
          <w:tcPr>
            <w:tcW w:w="1671" w:type="dxa"/>
            <w:vAlign w:val="center"/>
            <w:hideMark/>
          </w:tcPr>
          <w:p w14:paraId="5B285285"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1 (2%)</w:t>
            </w:r>
          </w:p>
        </w:tc>
        <w:tc>
          <w:tcPr>
            <w:tcW w:w="1610" w:type="dxa"/>
            <w:vAlign w:val="center"/>
            <w:hideMark/>
          </w:tcPr>
          <w:p w14:paraId="34F298FA"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16 (32%)</w:t>
            </w:r>
          </w:p>
        </w:tc>
      </w:tr>
      <w:tr w:rsidR="005D5457" w:rsidRPr="005D5457" w14:paraId="7D6C1C34" w14:textId="77777777" w:rsidTr="00F8399F">
        <w:trPr>
          <w:tblCellSpacing w:w="15" w:type="dxa"/>
        </w:trPr>
        <w:tc>
          <w:tcPr>
            <w:tcW w:w="3783" w:type="dxa"/>
            <w:vAlign w:val="center"/>
            <w:hideMark/>
          </w:tcPr>
          <w:p w14:paraId="05107A56" w14:textId="77777777" w:rsidR="005D5457" w:rsidRPr="005D5457" w:rsidRDefault="005D5457" w:rsidP="005D5457">
            <w:pPr>
              <w:spacing w:after="0" w:line="240" w:lineRule="auto"/>
              <w:rPr>
                <w:rFonts w:eastAsia="Times New Roman" w:cs="Times New Roman"/>
                <w:lang w:eastAsia="en-AU"/>
              </w:rPr>
            </w:pPr>
            <w:r w:rsidRPr="005D5457">
              <w:rPr>
                <w:rFonts w:eastAsia="Times New Roman" w:cs="Times New Roman"/>
                <w:lang w:eastAsia="en-AU"/>
              </w:rPr>
              <w:t>Blood pressure monitoring</w:t>
            </w:r>
          </w:p>
        </w:tc>
        <w:tc>
          <w:tcPr>
            <w:tcW w:w="1812" w:type="dxa"/>
            <w:gridSpan w:val="2"/>
            <w:vAlign w:val="center"/>
            <w:hideMark/>
          </w:tcPr>
          <w:p w14:paraId="6431D8D5" w14:textId="77777777" w:rsidR="005D5457" w:rsidRPr="005D5457" w:rsidRDefault="005D5457" w:rsidP="005D5457">
            <w:pPr>
              <w:spacing w:after="0" w:line="240" w:lineRule="auto"/>
              <w:ind w:left="-27" w:right="106"/>
              <w:jc w:val="center"/>
              <w:rPr>
                <w:rFonts w:eastAsia="Times New Roman" w:cs="Times New Roman"/>
                <w:lang w:eastAsia="en-AU"/>
              </w:rPr>
            </w:pPr>
            <w:r w:rsidRPr="005D5457">
              <w:rPr>
                <w:rFonts w:eastAsia="Times New Roman" w:cs="Times New Roman"/>
                <w:lang w:eastAsia="en-AU"/>
              </w:rPr>
              <w:t>47 (94%)</w:t>
            </w:r>
          </w:p>
        </w:tc>
        <w:tc>
          <w:tcPr>
            <w:tcW w:w="1671" w:type="dxa"/>
            <w:vAlign w:val="center"/>
            <w:hideMark/>
          </w:tcPr>
          <w:p w14:paraId="675847EE" w14:textId="77777777" w:rsidR="005D5457" w:rsidRPr="005D5457" w:rsidRDefault="005D5457" w:rsidP="005D5457">
            <w:pPr>
              <w:spacing w:after="0" w:line="240" w:lineRule="auto"/>
              <w:ind w:left="-27" w:right="510"/>
              <w:jc w:val="right"/>
              <w:rPr>
                <w:rFonts w:eastAsia="Times New Roman" w:cs="Times New Roman"/>
                <w:lang w:eastAsia="en-AU"/>
              </w:rPr>
            </w:pPr>
            <w:r w:rsidRPr="005D5457">
              <w:rPr>
                <w:rFonts w:eastAsia="Times New Roman" w:cs="Times New Roman"/>
                <w:lang w:eastAsia="en-AU"/>
              </w:rPr>
              <w:t>0</w:t>
            </w:r>
          </w:p>
        </w:tc>
        <w:tc>
          <w:tcPr>
            <w:tcW w:w="1610" w:type="dxa"/>
            <w:vAlign w:val="center"/>
            <w:hideMark/>
          </w:tcPr>
          <w:p w14:paraId="40CC6C86" w14:textId="77777777" w:rsidR="005D5457" w:rsidRPr="005D5457" w:rsidRDefault="005D5457" w:rsidP="005D5457">
            <w:pPr>
              <w:spacing w:after="0" w:line="240" w:lineRule="auto"/>
              <w:ind w:left="-27" w:right="390"/>
              <w:jc w:val="right"/>
              <w:rPr>
                <w:rFonts w:eastAsia="Times New Roman" w:cs="Times New Roman"/>
                <w:lang w:eastAsia="en-AU"/>
              </w:rPr>
            </w:pPr>
            <w:r w:rsidRPr="005D5457">
              <w:rPr>
                <w:rFonts w:eastAsia="Times New Roman" w:cs="Times New Roman"/>
                <w:lang w:eastAsia="en-AU"/>
              </w:rPr>
              <w:t>3 (6%)</w:t>
            </w:r>
          </w:p>
        </w:tc>
      </w:tr>
    </w:tbl>
    <w:p w14:paraId="3782FAB1" w14:textId="77777777" w:rsidR="005D5457" w:rsidRPr="005D5457" w:rsidRDefault="005D5457" w:rsidP="005D5457">
      <w:pPr>
        <w:spacing w:before="120" w:after="0" w:line="240" w:lineRule="auto"/>
        <w:ind w:right="-46"/>
        <w:rPr>
          <w:rFonts w:cstheme="minorHAnsi"/>
          <w:sz w:val="20"/>
          <w:szCs w:val="20"/>
        </w:rPr>
      </w:pPr>
      <w:r w:rsidRPr="005D5457">
        <w:rPr>
          <w:rFonts w:cstheme="minorHAnsi"/>
          <w:sz w:val="20"/>
          <w:szCs w:val="20"/>
        </w:rPr>
        <w:t xml:space="preserve">Abbreviations: COPD = Chronic Obstructive Pulmonary Disease; INR = </w:t>
      </w:r>
      <w:r w:rsidRPr="005D5457">
        <w:rPr>
          <w:sz w:val="20"/>
          <w:szCs w:val="20"/>
        </w:rPr>
        <w:t xml:space="preserve">International Normalised Ratio; </w:t>
      </w:r>
      <w:r w:rsidRPr="005D5457">
        <w:rPr>
          <w:rFonts w:cstheme="minorHAnsi"/>
          <w:sz w:val="20"/>
          <w:szCs w:val="20"/>
        </w:rPr>
        <w:t>HMR = Home Medicines Review; RMMR = Residential Medication Management Review.</w:t>
      </w:r>
    </w:p>
    <w:p w14:paraId="36D81F42" w14:textId="77777777" w:rsidR="005D5457" w:rsidRPr="005D5457" w:rsidRDefault="005D5457" w:rsidP="005D5457">
      <w:pPr>
        <w:spacing w:before="120" w:after="0" w:line="240" w:lineRule="auto"/>
        <w:ind w:right="-46"/>
        <w:rPr>
          <w:rFonts w:cstheme="minorHAnsi"/>
          <w:sz w:val="20"/>
          <w:szCs w:val="20"/>
        </w:rPr>
      </w:pPr>
    </w:p>
    <w:p w14:paraId="1C340158" w14:textId="77777777" w:rsidR="005D5457" w:rsidRPr="005D5457" w:rsidRDefault="005D5457" w:rsidP="005D5457">
      <w:pPr>
        <w:spacing w:before="120" w:after="0" w:line="240" w:lineRule="auto"/>
        <w:ind w:right="-46"/>
        <w:rPr>
          <w:rFonts w:cstheme="minorHAnsi"/>
          <w:sz w:val="20"/>
          <w:szCs w:val="20"/>
        </w:rPr>
      </w:pPr>
    </w:p>
    <w:p w14:paraId="547B85A6" w14:textId="4E89EA32" w:rsidR="005D5457" w:rsidRDefault="005D5457">
      <w:pPr>
        <w:rPr>
          <w:rFonts w:eastAsiaTheme="minorEastAsia" w:cstheme="minorHAnsi"/>
          <w:sz w:val="24"/>
          <w:szCs w:val="24"/>
          <w:lang w:eastAsia="zh-CN"/>
        </w:rPr>
      </w:pPr>
      <w:r>
        <w:rPr>
          <w:rFonts w:eastAsiaTheme="minorEastAsia" w:cstheme="minorHAnsi"/>
          <w:sz w:val="24"/>
          <w:szCs w:val="24"/>
          <w:lang w:eastAsia="zh-CN"/>
        </w:rPr>
        <w:br w:type="page"/>
      </w:r>
    </w:p>
    <w:p w14:paraId="462BCDC5" w14:textId="77777777" w:rsidR="005D5457" w:rsidRPr="005D5457" w:rsidRDefault="005D5457" w:rsidP="005D5457">
      <w:pPr>
        <w:rPr>
          <w:rFonts w:ascii="Times New Roman" w:hAnsi="Times New Roman" w:cs="Times New Roman"/>
          <w:sz w:val="24"/>
          <w:szCs w:val="24"/>
        </w:rPr>
      </w:pPr>
    </w:p>
    <w:p w14:paraId="1981E0E0" w14:textId="77777777" w:rsidR="005D5457" w:rsidRPr="005D5457" w:rsidRDefault="005D5457" w:rsidP="005D5457">
      <w:pPr>
        <w:rPr>
          <w:rFonts w:ascii="Times New Roman" w:hAnsi="Times New Roman" w:cs="Times New Roman"/>
          <w:sz w:val="24"/>
          <w:szCs w:val="24"/>
        </w:rPr>
      </w:pPr>
    </w:p>
    <w:p w14:paraId="269CB0D7" w14:textId="77777777" w:rsidR="005D5457" w:rsidRPr="005D5457" w:rsidRDefault="005D5457" w:rsidP="005D5457">
      <w:pPr>
        <w:rPr>
          <w:rFonts w:ascii="Times New Roman" w:hAnsi="Times New Roman" w:cs="Times New Roman"/>
          <w:sz w:val="24"/>
          <w:szCs w:val="24"/>
        </w:rPr>
      </w:pPr>
    </w:p>
    <w:p w14:paraId="6438FC2C" w14:textId="77777777" w:rsidR="005D5457" w:rsidRPr="005D5457" w:rsidRDefault="005D5457" w:rsidP="005D5457">
      <w:pPr>
        <w:rPr>
          <w:rFonts w:ascii="Times New Roman" w:hAnsi="Times New Roman" w:cs="Times New Roman"/>
          <w:sz w:val="24"/>
          <w:szCs w:val="24"/>
        </w:rPr>
      </w:pPr>
    </w:p>
    <w:p w14:paraId="792F1C8A" w14:textId="77777777" w:rsidR="005D5457" w:rsidRPr="005D5457" w:rsidRDefault="005D5457" w:rsidP="005D5457">
      <w:pPr>
        <w:rPr>
          <w:rFonts w:ascii="Times New Roman" w:hAnsi="Times New Roman" w:cs="Times New Roman"/>
          <w:sz w:val="24"/>
          <w:szCs w:val="24"/>
        </w:rPr>
      </w:pPr>
    </w:p>
    <w:p w14:paraId="1F66E44E" w14:textId="77777777" w:rsidR="005D5457" w:rsidRPr="005D5457" w:rsidRDefault="005D5457" w:rsidP="005D5457">
      <w:pPr>
        <w:rPr>
          <w:rFonts w:ascii="Times New Roman" w:hAnsi="Times New Roman" w:cs="Times New Roman"/>
          <w:sz w:val="24"/>
          <w:szCs w:val="24"/>
        </w:rPr>
      </w:pPr>
    </w:p>
    <w:p w14:paraId="495135B7" w14:textId="77777777" w:rsidR="005D5457" w:rsidRPr="005D5457" w:rsidRDefault="005D5457" w:rsidP="005D5457">
      <w:pPr>
        <w:rPr>
          <w:rFonts w:ascii="Times New Roman" w:hAnsi="Times New Roman" w:cs="Times New Roman"/>
          <w:noProof/>
          <w:sz w:val="24"/>
          <w:szCs w:val="24"/>
          <w:lang w:eastAsia="en-AU"/>
        </w:rPr>
      </w:pPr>
      <w:r w:rsidRPr="005D5457">
        <w:rPr>
          <w:noProof/>
          <w:lang w:eastAsia="en-AU"/>
        </w:rPr>
        <w:drawing>
          <wp:inline distT="0" distB="0" distL="0" distR="0" wp14:anchorId="1C46141F" wp14:editId="477EA44E">
            <wp:extent cx="5731510" cy="3413760"/>
            <wp:effectExtent l="19050" t="19050" r="2159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31510" cy="3413760"/>
                    </a:xfrm>
                    <a:prstGeom prst="rect">
                      <a:avLst/>
                    </a:prstGeom>
                    <a:ln w="12700">
                      <a:solidFill>
                        <a:sysClr val="windowText" lastClr="000000"/>
                      </a:solidFill>
                    </a:ln>
                  </pic:spPr>
                </pic:pic>
              </a:graphicData>
            </a:graphic>
          </wp:inline>
        </w:drawing>
      </w:r>
    </w:p>
    <w:p w14:paraId="4B867BDB" w14:textId="66B364CB" w:rsidR="005D5457" w:rsidRPr="005D5457" w:rsidRDefault="007539B9" w:rsidP="005D5457">
      <w:pPr>
        <w:spacing w:after="0" w:line="240" w:lineRule="auto"/>
        <w:rPr>
          <w:rFonts w:cstheme="minorHAnsi"/>
          <w:noProof/>
          <w:sz w:val="24"/>
          <w:szCs w:val="24"/>
          <w:lang w:eastAsia="en-AU"/>
        </w:rPr>
      </w:pPr>
      <w:r w:rsidRPr="000B393F">
        <w:rPr>
          <w:rFonts w:cstheme="minorHAnsi"/>
          <w:b/>
          <w:noProof/>
          <w:sz w:val="24"/>
          <w:szCs w:val="24"/>
          <w:lang w:eastAsia="en-AU"/>
        </w:rPr>
        <w:t>Figure 1:</w:t>
      </w:r>
      <w:r w:rsidRPr="000B393F">
        <w:rPr>
          <w:rFonts w:cstheme="minorHAnsi"/>
          <w:noProof/>
          <w:sz w:val="24"/>
          <w:szCs w:val="24"/>
          <w:lang w:eastAsia="en-AU"/>
        </w:rPr>
        <w:t xml:space="preserve"> Comparison of the age of pharmacist categories between this </w:t>
      </w:r>
      <w:r>
        <w:rPr>
          <w:rFonts w:cstheme="minorHAnsi"/>
          <w:noProof/>
          <w:sz w:val="24"/>
          <w:szCs w:val="24"/>
          <w:lang w:eastAsia="en-AU"/>
        </w:rPr>
        <w:t>project</w:t>
      </w:r>
      <w:r w:rsidRPr="000B393F">
        <w:rPr>
          <w:rFonts w:cstheme="minorHAnsi"/>
          <w:noProof/>
          <w:sz w:val="24"/>
          <w:szCs w:val="24"/>
          <w:lang w:eastAsia="en-AU"/>
        </w:rPr>
        <w:t xml:space="preserve"> and 2018/19 </w:t>
      </w:r>
      <w:r w:rsidRPr="000B393F">
        <w:rPr>
          <w:rFonts w:eastAsia="Times New Roman" w:cstheme="minorHAnsi"/>
          <w:sz w:val="24"/>
          <w:szCs w:val="24"/>
          <w:lang w:eastAsia="en-AU"/>
        </w:rPr>
        <w:t>Australian Health Practitioner Regulation Agency (AHPRA) data for registered pharmacists</w:t>
      </w:r>
      <w:r w:rsidRPr="000B393F">
        <w:rPr>
          <w:rFonts w:cstheme="minorHAnsi"/>
          <w:noProof/>
          <w:sz w:val="24"/>
          <w:szCs w:val="24"/>
          <w:lang w:eastAsia="en-AU"/>
        </w:rPr>
        <w:t>.</w:t>
      </w:r>
    </w:p>
    <w:p w14:paraId="014A5A40" w14:textId="77777777" w:rsidR="005D5457" w:rsidRPr="005D5457" w:rsidRDefault="005D5457" w:rsidP="005D5457">
      <w:pPr>
        <w:spacing w:after="0" w:line="240" w:lineRule="auto"/>
        <w:rPr>
          <w:rFonts w:ascii="Times New Roman" w:hAnsi="Times New Roman" w:cs="Times New Roman"/>
          <w:noProof/>
          <w:sz w:val="24"/>
          <w:szCs w:val="24"/>
          <w:lang w:eastAsia="en-AU"/>
        </w:rPr>
      </w:pPr>
    </w:p>
    <w:p w14:paraId="1C750CFD" w14:textId="77777777" w:rsidR="005D5457" w:rsidRPr="005D5457" w:rsidRDefault="005D5457" w:rsidP="005D5457">
      <w:pPr>
        <w:spacing w:after="0" w:line="240" w:lineRule="auto"/>
        <w:rPr>
          <w:rFonts w:ascii="Times New Roman" w:hAnsi="Times New Roman" w:cs="Times New Roman"/>
          <w:noProof/>
          <w:sz w:val="24"/>
          <w:szCs w:val="24"/>
          <w:lang w:eastAsia="en-AU"/>
        </w:rPr>
      </w:pPr>
    </w:p>
    <w:p w14:paraId="5180012E" w14:textId="77777777" w:rsidR="005D5457" w:rsidRPr="005D5457" w:rsidRDefault="005D5457" w:rsidP="005D5457">
      <w:pPr>
        <w:spacing w:after="0" w:line="240" w:lineRule="auto"/>
        <w:rPr>
          <w:rFonts w:ascii="Times New Roman" w:hAnsi="Times New Roman" w:cs="Times New Roman"/>
          <w:noProof/>
          <w:sz w:val="24"/>
          <w:szCs w:val="24"/>
          <w:lang w:eastAsia="en-AU"/>
        </w:rPr>
      </w:pPr>
    </w:p>
    <w:p w14:paraId="36BA1AB0" w14:textId="77777777" w:rsidR="005D5457" w:rsidRPr="005D5457" w:rsidRDefault="005D5457" w:rsidP="005D5457">
      <w:pPr>
        <w:spacing w:after="0" w:line="240" w:lineRule="auto"/>
        <w:rPr>
          <w:rFonts w:ascii="Times New Roman" w:hAnsi="Times New Roman" w:cs="Times New Roman"/>
          <w:noProof/>
          <w:sz w:val="24"/>
          <w:szCs w:val="24"/>
          <w:lang w:eastAsia="en-AU"/>
        </w:rPr>
      </w:pPr>
    </w:p>
    <w:p w14:paraId="1C9EB359" w14:textId="77777777" w:rsidR="005D5457" w:rsidRPr="005D5457" w:rsidRDefault="005D5457" w:rsidP="005D5457">
      <w:pPr>
        <w:spacing w:after="0" w:line="240" w:lineRule="auto"/>
        <w:rPr>
          <w:rFonts w:ascii="Times New Roman" w:hAnsi="Times New Roman" w:cs="Times New Roman"/>
          <w:noProof/>
          <w:sz w:val="24"/>
          <w:szCs w:val="24"/>
          <w:lang w:eastAsia="en-AU"/>
        </w:rPr>
      </w:pPr>
    </w:p>
    <w:p w14:paraId="0F5315E8" w14:textId="77777777" w:rsidR="005D5457" w:rsidRPr="005D5457" w:rsidRDefault="005D5457" w:rsidP="005D5457">
      <w:pPr>
        <w:spacing w:after="0" w:line="240" w:lineRule="auto"/>
        <w:rPr>
          <w:rFonts w:ascii="Times New Roman" w:hAnsi="Times New Roman" w:cs="Times New Roman"/>
          <w:noProof/>
          <w:sz w:val="24"/>
          <w:szCs w:val="24"/>
          <w:lang w:eastAsia="en-AU"/>
        </w:rPr>
      </w:pPr>
    </w:p>
    <w:p w14:paraId="017C1E15" w14:textId="77777777" w:rsidR="005D5457" w:rsidRPr="005D5457" w:rsidRDefault="005D5457" w:rsidP="005D5457">
      <w:pPr>
        <w:spacing w:after="0" w:line="240" w:lineRule="auto"/>
        <w:rPr>
          <w:rFonts w:ascii="Times New Roman" w:hAnsi="Times New Roman" w:cs="Times New Roman"/>
          <w:noProof/>
          <w:sz w:val="24"/>
          <w:szCs w:val="24"/>
          <w:lang w:eastAsia="en-AU"/>
        </w:rPr>
      </w:pPr>
    </w:p>
    <w:p w14:paraId="119AB2F8" w14:textId="77777777" w:rsidR="005D5457" w:rsidRPr="005D5457" w:rsidRDefault="005D5457" w:rsidP="005D5457">
      <w:pPr>
        <w:spacing w:after="0" w:line="240" w:lineRule="auto"/>
        <w:rPr>
          <w:rFonts w:ascii="Times New Roman" w:hAnsi="Times New Roman" w:cs="Times New Roman"/>
          <w:noProof/>
          <w:sz w:val="24"/>
          <w:szCs w:val="24"/>
          <w:lang w:eastAsia="en-AU"/>
        </w:rPr>
      </w:pPr>
    </w:p>
    <w:p w14:paraId="76D0956E" w14:textId="77777777" w:rsidR="005D5457" w:rsidRPr="005D5457" w:rsidRDefault="005D5457" w:rsidP="005D5457">
      <w:pPr>
        <w:spacing w:after="0" w:line="240" w:lineRule="auto"/>
        <w:rPr>
          <w:rFonts w:ascii="Times New Roman" w:eastAsia="Times New Roman" w:hAnsi="Times New Roman" w:cs="Times New Roman"/>
          <w:sz w:val="24"/>
          <w:szCs w:val="24"/>
          <w:lang w:eastAsia="en-AU"/>
        </w:rPr>
      </w:pPr>
    </w:p>
    <w:p w14:paraId="3B01914A" w14:textId="77777777" w:rsidR="005D5457" w:rsidRPr="005D5457" w:rsidRDefault="005D5457" w:rsidP="005D5457">
      <w:pPr>
        <w:spacing w:after="0" w:line="240" w:lineRule="auto"/>
        <w:rPr>
          <w:rFonts w:ascii="Times New Roman" w:eastAsia="Times New Roman" w:hAnsi="Times New Roman" w:cs="Times New Roman"/>
          <w:sz w:val="24"/>
          <w:szCs w:val="24"/>
          <w:lang w:eastAsia="en-AU"/>
        </w:rPr>
      </w:pPr>
    </w:p>
    <w:p w14:paraId="462F8A8A" w14:textId="77777777" w:rsidR="005D5457" w:rsidRPr="005D5457" w:rsidRDefault="005D5457" w:rsidP="005D5457">
      <w:pPr>
        <w:spacing w:after="0" w:line="240" w:lineRule="auto"/>
        <w:rPr>
          <w:rFonts w:ascii="Times New Roman" w:eastAsia="Times New Roman" w:hAnsi="Times New Roman" w:cs="Times New Roman"/>
          <w:sz w:val="24"/>
          <w:szCs w:val="24"/>
          <w:lang w:eastAsia="en-AU"/>
        </w:rPr>
      </w:pPr>
    </w:p>
    <w:p w14:paraId="28E2B4FD" w14:textId="77777777" w:rsidR="005D5457" w:rsidRPr="005D5457" w:rsidRDefault="005D5457" w:rsidP="005D5457">
      <w:pPr>
        <w:spacing w:after="0" w:line="240" w:lineRule="auto"/>
        <w:rPr>
          <w:rFonts w:ascii="Times New Roman" w:eastAsia="Times New Roman" w:hAnsi="Times New Roman" w:cs="Times New Roman"/>
          <w:sz w:val="24"/>
          <w:szCs w:val="24"/>
          <w:lang w:eastAsia="en-AU"/>
        </w:rPr>
      </w:pPr>
    </w:p>
    <w:p w14:paraId="1BEA5E6D" w14:textId="2BEF5CFB" w:rsidR="005D5457" w:rsidRDefault="005D5457">
      <w:pPr>
        <w:rPr>
          <w:rFonts w:eastAsiaTheme="minorEastAsia" w:cstheme="minorHAnsi"/>
          <w:sz w:val="24"/>
          <w:szCs w:val="24"/>
          <w:lang w:eastAsia="zh-CN"/>
        </w:rPr>
      </w:pPr>
      <w:r>
        <w:rPr>
          <w:rFonts w:eastAsiaTheme="minorEastAsia" w:cstheme="minorHAnsi"/>
          <w:sz w:val="24"/>
          <w:szCs w:val="24"/>
          <w:lang w:eastAsia="zh-CN"/>
        </w:rPr>
        <w:br w:type="page"/>
      </w:r>
    </w:p>
    <w:p w14:paraId="06E4E7B8" w14:textId="77777777" w:rsidR="005D5457" w:rsidRPr="005D5457" w:rsidRDefault="005D5457" w:rsidP="005D5457">
      <w:pPr>
        <w:spacing w:after="0" w:line="240" w:lineRule="auto"/>
        <w:rPr>
          <w:rFonts w:ascii="Times New Roman" w:eastAsia="Times New Roman" w:hAnsi="Times New Roman" w:cs="Times New Roman"/>
          <w:sz w:val="24"/>
          <w:szCs w:val="24"/>
          <w:lang w:eastAsia="en-AU"/>
        </w:rPr>
      </w:pPr>
    </w:p>
    <w:p w14:paraId="169A1FF0" w14:textId="77777777" w:rsidR="005D5457" w:rsidRPr="005D5457" w:rsidRDefault="005D5457" w:rsidP="005D5457">
      <w:pPr>
        <w:spacing w:after="0" w:line="240" w:lineRule="auto"/>
        <w:rPr>
          <w:rFonts w:ascii="Times New Roman" w:eastAsia="Times New Roman" w:hAnsi="Times New Roman" w:cs="Times New Roman"/>
          <w:sz w:val="24"/>
          <w:szCs w:val="24"/>
          <w:lang w:eastAsia="en-AU"/>
        </w:rPr>
      </w:pPr>
    </w:p>
    <w:p w14:paraId="31C80677" w14:textId="77777777" w:rsidR="005D5457" w:rsidRPr="005D5457" w:rsidRDefault="005D5457" w:rsidP="005D5457">
      <w:pPr>
        <w:spacing w:after="0" w:line="240" w:lineRule="auto"/>
        <w:rPr>
          <w:rFonts w:ascii="Times New Roman" w:eastAsia="Times New Roman" w:hAnsi="Times New Roman" w:cs="Times New Roman"/>
          <w:sz w:val="24"/>
          <w:szCs w:val="24"/>
          <w:lang w:eastAsia="en-AU"/>
        </w:rPr>
      </w:pPr>
    </w:p>
    <w:p w14:paraId="61ACD99F" w14:textId="77777777" w:rsidR="005D5457" w:rsidRPr="005D5457" w:rsidRDefault="005D5457" w:rsidP="005D5457">
      <w:pPr>
        <w:spacing w:after="0" w:line="240" w:lineRule="auto"/>
        <w:rPr>
          <w:rFonts w:ascii="Times New Roman" w:eastAsia="Times New Roman" w:hAnsi="Times New Roman" w:cs="Times New Roman"/>
          <w:sz w:val="24"/>
          <w:szCs w:val="24"/>
          <w:lang w:eastAsia="en-AU"/>
        </w:rPr>
      </w:pPr>
    </w:p>
    <w:p w14:paraId="3F259329" w14:textId="77777777" w:rsidR="005D5457" w:rsidRPr="005D5457" w:rsidRDefault="005D5457" w:rsidP="005D5457">
      <w:pPr>
        <w:spacing w:after="0" w:line="240" w:lineRule="auto"/>
        <w:rPr>
          <w:rFonts w:ascii="Times New Roman" w:eastAsia="Times New Roman" w:hAnsi="Times New Roman" w:cs="Times New Roman"/>
          <w:sz w:val="24"/>
          <w:szCs w:val="24"/>
          <w:lang w:eastAsia="en-AU"/>
        </w:rPr>
      </w:pPr>
    </w:p>
    <w:p w14:paraId="1F8B630A" w14:textId="77777777" w:rsidR="005D5457" w:rsidRPr="005D5457" w:rsidRDefault="005D5457" w:rsidP="005D5457">
      <w:pPr>
        <w:spacing w:after="0" w:line="240" w:lineRule="auto"/>
        <w:rPr>
          <w:rFonts w:ascii="Times New Roman" w:eastAsia="Times New Roman" w:hAnsi="Times New Roman" w:cs="Times New Roman"/>
          <w:sz w:val="24"/>
          <w:szCs w:val="24"/>
          <w:lang w:eastAsia="en-AU"/>
        </w:rPr>
      </w:pPr>
    </w:p>
    <w:p w14:paraId="416333A0" w14:textId="77777777" w:rsidR="005D5457" w:rsidRPr="005D5457" w:rsidRDefault="005D5457" w:rsidP="005D5457">
      <w:pPr>
        <w:spacing w:after="0" w:line="240" w:lineRule="auto"/>
        <w:rPr>
          <w:rFonts w:ascii="Times New Roman" w:eastAsia="Times New Roman" w:hAnsi="Times New Roman" w:cs="Times New Roman"/>
          <w:sz w:val="24"/>
          <w:szCs w:val="24"/>
          <w:lang w:eastAsia="en-AU"/>
        </w:rPr>
      </w:pPr>
    </w:p>
    <w:p w14:paraId="15C0556C" w14:textId="77777777" w:rsidR="005D5457" w:rsidRPr="005D5457" w:rsidRDefault="005D5457" w:rsidP="005D5457">
      <w:pPr>
        <w:spacing w:after="0" w:line="240" w:lineRule="auto"/>
        <w:rPr>
          <w:rFonts w:ascii="Times New Roman" w:eastAsia="Times New Roman" w:hAnsi="Times New Roman" w:cs="Times New Roman"/>
          <w:sz w:val="24"/>
          <w:szCs w:val="24"/>
          <w:lang w:eastAsia="en-AU"/>
        </w:rPr>
      </w:pPr>
    </w:p>
    <w:p w14:paraId="0E99D0FA" w14:textId="77777777" w:rsidR="005D5457" w:rsidRPr="005D5457" w:rsidRDefault="005D5457" w:rsidP="005D5457">
      <w:pPr>
        <w:spacing w:after="0" w:line="240" w:lineRule="auto"/>
        <w:rPr>
          <w:rFonts w:ascii="Times New Roman" w:eastAsia="Times New Roman" w:hAnsi="Times New Roman" w:cs="Times New Roman"/>
          <w:sz w:val="24"/>
          <w:szCs w:val="24"/>
          <w:lang w:eastAsia="en-AU"/>
        </w:rPr>
      </w:pPr>
    </w:p>
    <w:p w14:paraId="3DF2B7E6" w14:textId="77777777" w:rsidR="005D5457" w:rsidRPr="005D5457" w:rsidRDefault="005D5457" w:rsidP="005D5457">
      <w:pPr>
        <w:spacing w:after="0" w:line="240" w:lineRule="auto"/>
        <w:rPr>
          <w:rFonts w:ascii="Times New Roman" w:eastAsia="Times New Roman" w:hAnsi="Times New Roman" w:cs="Times New Roman"/>
          <w:sz w:val="24"/>
          <w:szCs w:val="24"/>
          <w:lang w:eastAsia="en-AU"/>
        </w:rPr>
      </w:pPr>
    </w:p>
    <w:p w14:paraId="2385CB6C" w14:textId="77777777" w:rsidR="005D5457" w:rsidRPr="005D5457" w:rsidRDefault="005D5457" w:rsidP="005D5457">
      <w:pPr>
        <w:spacing w:after="0" w:line="240" w:lineRule="auto"/>
        <w:rPr>
          <w:rFonts w:ascii="Times New Roman" w:eastAsia="Times New Roman" w:hAnsi="Times New Roman" w:cs="Times New Roman"/>
          <w:sz w:val="24"/>
          <w:szCs w:val="24"/>
          <w:lang w:eastAsia="en-AU"/>
        </w:rPr>
      </w:pPr>
    </w:p>
    <w:p w14:paraId="5ED9B20B" w14:textId="77777777" w:rsidR="005D5457" w:rsidRPr="005D5457" w:rsidRDefault="005D5457" w:rsidP="005D5457">
      <w:pPr>
        <w:spacing w:after="0" w:line="240" w:lineRule="auto"/>
        <w:rPr>
          <w:rFonts w:ascii="Times New Roman" w:eastAsia="Times New Roman" w:hAnsi="Times New Roman" w:cs="Times New Roman"/>
          <w:sz w:val="24"/>
          <w:szCs w:val="24"/>
          <w:lang w:eastAsia="en-AU"/>
        </w:rPr>
      </w:pPr>
    </w:p>
    <w:p w14:paraId="60903898" w14:textId="77777777" w:rsidR="005D5457" w:rsidRPr="005D5457" w:rsidRDefault="005D5457" w:rsidP="005D5457">
      <w:pPr>
        <w:spacing w:after="0" w:line="240" w:lineRule="auto"/>
        <w:rPr>
          <w:rFonts w:ascii="Times New Roman" w:eastAsia="Times New Roman" w:hAnsi="Times New Roman" w:cs="Times New Roman"/>
          <w:sz w:val="24"/>
          <w:szCs w:val="24"/>
          <w:lang w:eastAsia="en-AU"/>
        </w:rPr>
      </w:pPr>
    </w:p>
    <w:p w14:paraId="17D80EF1" w14:textId="77777777" w:rsidR="005D5457" w:rsidRPr="005D5457" w:rsidRDefault="005D5457" w:rsidP="005D5457">
      <w:pPr>
        <w:spacing w:before="120" w:after="0" w:line="240" w:lineRule="auto"/>
        <w:ind w:right="-896"/>
        <w:rPr>
          <w:rFonts w:cstheme="minorHAnsi"/>
          <w:b/>
        </w:rPr>
      </w:pPr>
      <w:r w:rsidRPr="005D5457">
        <w:rPr>
          <w:noProof/>
          <w:lang w:eastAsia="en-AU"/>
        </w:rPr>
        <w:drawing>
          <wp:inline distT="0" distB="0" distL="0" distR="0" wp14:anchorId="1DB154B1" wp14:editId="370ADC93">
            <wp:extent cx="5731510" cy="3065780"/>
            <wp:effectExtent l="19050" t="19050" r="2159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31510" cy="3065780"/>
                    </a:xfrm>
                    <a:prstGeom prst="rect">
                      <a:avLst/>
                    </a:prstGeom>
                    <a:ln w="12700">
                      <a:solidFill>
                        <a:sysClr val="windowText" lastClr="000000"/>
                      </a:solidFill>
                    </a:ln>
                  </pic:spPr>
                </pic:pic>
              </a:graphicData>
            </a:graphic>
          </wp:inline>
        </w:drawing>
      </w:r>
    </w:p>
    <w:p w14:paraId="56C1E05B" w14:textId="5195F670" w:rsidR="005D5457" w:rsidRPr="005D5457" w:rsidRDefault="007539B9" w:rsidP="005D5457">
      <w:pPr>
        <w:spacing w:before="120" w:after="0" w:line="240" w:lineRule="auto"/>
        <w:ind w:right="-896"/>
        <w:rPr>
          <w:rFonts w:cstheme="minorHAnsi"/>
        </w:rPr>
      </w:pPr>
      <w:r w:rsidRPr="000B393F">
        <w:rPr>
          <w:rFonts w:cstheme="minorHAnsi"/>
          <w:b/>
          <w:sz w:val="24"/>
          <w:szCs w:val="24"/>
        </w:rPr>
        <w:t>Figure 2:</w:t>
      </w:r>
      <w:r w:rsidRPr="000B393F">
        <w:rPr>
          <w:rFonts w:cstheme="minorHAnsi"/>
          <w:sz w:val="24"/>
          <w:szCs w:val="24"/>
        </w:rPr>
        <w:t xml:space="preserve"> Self-reported average weekly hours of work, male versus female respondents.</w:t>
      </w:r>
    </w:p>
    <w:p w14:paraId="66C8F4B9" w14:textId="77777777" w:rsidR="005D5457" w:rsidRPr="005D5457" w:rsidRDefault="005D5457" w:rsidP="005D5457">
      <w:pPr>
        <w:spacing w:before="120" w:after="0" w:line="240" w:lineRule="auto"/>
        <w:ind w:right="-896"/>
        <w:rPr>
          <w:rFonts w:cstheme="minorHAnsi"/>
        </w:rPr>
      </w:pPr>
    </w:p>
    <w:p w14:paraId="46614C1A" w14:textId="77777777" w:rsidR="005D5457" w:rsidRPr="005D5457" w:rsidRDefault="005D5457" w:rsidP="005D5457">
      <w:pPr>
        <w:rPr>
          <w:rFonts w:cstheme="minorHAnsi"/>
        </w:rPr>
      </w:pPr>
    </w:p>
    <w:p w14:paraId="18CEDC35" w14:textId="77777777" w:rsidR="005D5457" w:rsidRPr="005D5457" w:rsidRDefault="005D5457" w:rsidP="005D5457">
      <w:pPr>
        <w:rPr>
          <w:rFonts w:eastAsiaTheme="minorEastAsia" w:cstheme="minorHAnsi"/>
          <w:sz w:val="24"/>
          <w:szCs w:val="24"/>
          <w:lang w:eastAsia="zh-CN"/>
        </w:rPr>
      </w:pPr>
    </w:p>
    <w:sectPr w:rsidR="005D5457" w:rsidRPr="005D5457" w:rsidSect="00997985">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3AE75" w14:textId="77777777" w:rsidR="0021732D" w:rsidRDefault="0021732D" w:rsidP="009A5011">
      <w:pPr>
        <w:spacing w:after="0" w:line="240" w:lineRule="auto"/>
      </w:pPr>
      <w:r>
        <w:separator/>
      </w:r>
    </w:p>
  </w:endnote>
  <w:endnote w:type="continuationSeparator" w:id="0">
    <w:p w14:paraId="53B9B7EB" w14:textId="77777777" w:rsidR="0021732D" w:rsidRDefault="0021732D" w:rsidP="009A5011">
      <w:pPr>
        <w:spacing w:after="0" w:line="240" w:lineRule="auto"/>
      </w:pPr>
      <w:r>
        <w:continuationSeparator/>
      </w:r>
    </w:p>
  </w:endnote>
  <w:endnote w:type="continuationNotice" w:id="1">
    <w:p w14:paraId="01B49182" w14:textId="77777777" w:rsidR="0021732D" w:rsidRDefault="00217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139542"/>
      <w:docPartObj>
        <w:docPartGallery w:val="Page Numbers (Bottom of Page)"/>
        <w:docPartUnique/>
      </w:docPartObj>
    </w:sdtPr>
    <w:sdtEndPr>
      <w:rPr>
        <w:noProof/>
      </w:rPr>
    </w:sdtEndPr>
    <w:sdtContent>
      <w:p w14:paraId="56C8502A" w14:textId="16F82E6B" w:rsidR="00075988" w:rsidRDefault="00075988">
        <w:pPr>
          <w:pStyle w:val="Footer"/>
          <w:jc w:val="right"/>
        </w:pPr>
        <w:r>
          <w:fldChar w:fldCharType="begin"/>
        </w:r>
        <w:r>
          <w:instrText xml:space="preserve"> PAGE   \* MERGEFORMAT </w:instrText>
        </w:r>
        <w:r>
          <w:fldChar w:fldCharType="separate"/>
        </w:r>
        <w:r w:rsidR="00D22C67">
          <w:rPr>
            <w:noProof/>
          </w:rPr>
          <w:t>1</w:t>
        </w:r>
        <w:r>
          <w:rPr>
            <w:noProof/>
          </w:rPr>
          <w:fldChar w:fldCharType="end"/>
        </w:r>
      </w:p>
    </w:sdtContent>
  </w:sdt>
  <w:p w14:paraId="0DCF9324" w14:textId="77777777" w:rsidR="00075988" w:rsidRDefault="0007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5C405" w14:textId="77777777" w:rsidR="0021732D" w:rsidRDefault="0021732D" w:rsidP="009A5011">
      <w:pPr>
        <w:spacing w:after="0" w:line="240" w:lineRule="auto"/>
      </w:pPr>
      <w:r>
        <w:separator/>
      </w:r>
    </w:p>
  </w:footnote>
  <w:footnote w:type="continuationSeparator" w:id="0">
    <w:p w14:paraId="33020EFC" w14:textId="77777777" w:rsidR="0021732D" w:rsidRDefault="0021732D" w:rsidP="009A5011">
      <w:pPr>
        <w:spacing w:after="0" w:line="240" w:lineRule="auto"/>
      </w:pPr>
      <w:r>
        <w:continuationSeparator/>
      </w:r>
    </w:p>
  </w:footnote>
  <w:footnote w:type="continuationNotice" w:id="1">
    <w:p w14:paraId="7EDD1B61" w14:textId="77777777" w:rsidR="0021732D" w:rsidRDefault="002173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6577"/>
    <w:multiLevelType w:val="hybridMultilevel"/>
    <w:tmpl w:val="B17C50A4"/>
    <w:lvl w:ilvl="0" w:tplc="291ECC24">
      <w:start w:val="1"/>
      <w:numFmt w:val="bullet"/>
      <w:lvlText w:val="•"/>
      <w:lvlJc w:val="left"/>
      <w:pPr>
        <w:tabs>
          <w:tab w:val="num" w:pos="720"/>
        </w:tabs>
        <w:ind w:left="720" w:hanging="360"/>
      </w:pPr>
      <w:rPr>
        <w:rFonts w:ascii="Times New Roman" w:hAnsi="Times New Roman" w:hint="default"/>
      </w:rPr>
    </w:lvl>
    <w:lvl w:ilvl="1" w:tplc="38CAFA8C">
      <w:start w:val="153"/>
      <w:numFmt w:val="bullet"/>
      <w:lvlText w:val="–"/>
      <w:lvlJc w:val="left"/>
      <w:pPr>
        <w:tabs>
          <w:tab w:val="num" w:pos="1440"/>
        </w:tabs>
        <w:ind w:left="1440" w:hanging="360"/>
      </w:pPr>
      <w:rPr>
        <w:rFonts w:ascii="Times New Roman" w:hAnsi="Times New Roman" w:hint="default"/>
      </w:rPr>
    </w:lvl>
    <w:lvl w:ilvl="2" w:tplc="6A469A30">
      <w:start w:val="153"/>
      <w:numFmt w:val="bullet"/>
      <w:lvlText w:val="•"/>
      <w:lvlJc w:val="left"/>
      <w:pPr>
        <w:tabs>
          <w:tab w:val="num" w:pos="2160"/>
        </w:tabs>
        <w:ind w:left="2160" w:hanging="360"/>
      </w:pPr>
      <w:rPr>
        <w:rFonts w:ascii="Times New Roman" w:hAnsi="Times New Roman" w:hint="default"/>
      </w:rPr>
    </w:lvl>
    <w:lvl w:ilvl="3" w:tplc="C5DC0818" w:tentative="1">
      <w:start w:val="1"/>
      <w:numFmt w:val="bullet"/>
      <w:lvlText w:val="•"/>
      <w:lvlJc w:val="left"/>
      <w:pPr>
        <w:tabs>
          <w:tab w:val="num" w:pos="2880"/>
        </w:tabs>
        <w:ind w:left="2880" w:hanging="360"/>
      </w:pPr>
      <w:rPr>
        <w:rFonts w:ascii="Times New Roman" w:hAnsi="Times New Roman" w:hint="default"/>
      </w:rPr>
    </w:lvl>
    <w:lvl w:ilvl="4" w:tplc="C3C86C54" w:tentative="1">
      <w:start w:val="1"/>
      <w:numFmt w:val="bullet"/>
      <w:lvlText w:val="•"/>
      <w:lvlJc w:val="left"/>
      <w:pPr>
        <w:tabs>
          <w:tab w:val="num" w:pos="3600"/>
        </w:tabs>
        <w:ind w:left="3600" w:hanging="360"/>
      </w:pPr>
      <w:rPr>
        <w:rFonts w:ascii="Times New Roman" w:hAnsi="Times New Roman" w:hint="default"/>
      </w:rPr>
    </w:lvl>
    <w:lvl w:ilvl="5" w:tplc="427AAF8E" w:tentative="1">
      <w:start w:val="1"/>
      <w:numFmt w:val="bullet"/>
      <w:lvlText w:val="•"/>
      <w:lvlJc w:val="left"/>
      <w:pPr>
        <w:tabs>
          <w:tab w:val="num" w:pos="4320"/>
        </w:tabs>
        <w:ind w:left="4320" w:hanging="360"/>
      </w:pPr>
      <w:rPr>
        <w:rFonts w:ascii="Times New Roman" w:hAnsi="Times New Roman" w:hint="default"/>
      </w:rPr>
    </w:lvl>
    <w:lvl w:ilvl="6" w:tplc="7298A590" w:tentative="1">
      <w:start w:val="1"/>
      <w:numFmt w:val="bullet"/>
      <w:lvlText w:val="•"/>
      <w:lvlJc w:val="left"/>
      <w:pPr>
        <w:tabs>
          <w:tab w:val="num" w:pos="5040"/>
        </w:tabs>
        <w:ind w:left="5040" w:hanging="360"/>
      </w:pPr>
      <w:rPr>
        <w:rFonts w:ascii="Times New Roman" w:hAnsi="Times New Roman" w:hint="default"/>
      </w:rPr>
    </w:lvl>
    <w:lvl w:ilvl="7" w:tplc="27EAA54E" w:tentative="1">
      <w:start w:val="1"/>
      <w:numFmt w:val="bullet"/>
      <w:lvlText w:val="•"/>
      <w:lvlJc w:val="left"/>
      <w:pPr>
        <w:tabs>
          <w:tab w:val="num" w:pos="5760"/>
        </w:tabs>
        <w:ind w:left="5760" w:hanging="360"/>
      </w:pPr>
      <w:rPr>
        <w:rFonts w:ascii="Times New Roman" w:hAnsi="Times New Roman" w:hint="default"/>
      </w:rPr>
    </w:lvl>
    <w:lvl w:ilvl="8" w:tplc="2154036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8A3C58"/>
    <w:multiLevelType w:val="hybridMultilevel"/>
    <w:tmpl w:val="897CC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3932AD"/>
    <w:multiLevelType w:val="hybridMultilevel"/>
    <w:tmpl w:val="564887A6"/>
    <w:lvl w:ilvl="0" w:tplc="9970E2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D627DF"/>
    <w:multiLevelType w:val="hybridMultilevel"/>
    <w:tmpl w:val="1150A89C"/>
    <w:lvl w:ilvl="0" w:tplc="DF52ED32">
      <w:start w:val="1"/>
      <w:numFmt w:val="decimal"/>
      <w:lvlText w:val="%1."/>
      <w:lvlJc w:val="left"/>
      <w:pPr>
        <w:ind w:left="790" w:hanging="4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1475A3"/>
    <w:multiLevelType w:val="hybridMultilevel"/>
    <w:tmpl w:val="61800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D22533"/>
    <w:multiLevelType w:val="hybridMultilevel"/>
    <w:tmpl w:val="B998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7248A3"/>
    <w:multiLevelType w:val="hybridMultilevel"/>
    <w:tmpl w:val="B1883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AE51C7"/>
    <w:multiLevelType w:val="hybridMultilevel"/>
    <w:tmpl w:val="2676F8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001D99"/>
    <w:multiLevelType w:val="hybridMultilevel"/>
    <w:tmpl w:val="774E771E"/>
    <w:lvl w:ilvl="0" w:tplc="521A1896">
      <w:start w:val="1"/>
      <w:numFmt w:val="bullet"/>
      <w:lvlText w:val=""/>
      <w:lvlJc w:val="left"/>
      <w:pPr>
        <w:ind w:left="720" w:hanging="360"/>
      </w:pPr>
      <w:rPr>
        <w:rFonts w:ascii="Symbol" w:hAnsi="Symbol" w:hint="default"/>
      </w:rPr>
    </w:lvl>
    <w:lvl w:ilvl="1" w:tplc="B6927C94">
      <w:start w:val="1"/>
      <w:numFmt w:val="bullet"/>
      <w:lvlText w:val="o"/>
      <w:lvlJc w:val="left"/>
      <w:pPr>
        <w:ind w:left="1440" w:hanging="360"/>
      </w:pPr>
      <w:rPr>
        <w:rFonts w:ascii="Courier New" w:hAnsi="Courier New" w:hint="default"/>
      </w:rPr>
    </w:lvl>
    <w:lvl w:ilvl="2" w:tplc="E0C0C14A">
      <w:start w:val="1"/>
      <w:numFmt w:val="bullet"/>
      <w:lvlText w:val=""/>
      <w:lvlJc w:val="left"/>
      <w:pPr>
        <w:ind w:left="2160" w:hanging="360"/>
      </w:pPr>
      <w:rPr>
        <w:rFonts w:ascii="Wingdings" w:hAnsi="Wingdings" w:hint="default"/>
      </w:rPr>
    </w:lvl>
    <w:lvl w:ilvl="3" w:tplc="A7529710">
      <w:start w:val="1"/>
      <w:numFmt w:val="bullet"/>
      <w:lvlText w:val=""/>
      <w:lvlJc w:val="left"/>
      <w:pPr>
        <w:ind w:left="2880" w:hanging="360"/>
      </w:pPr>
      <w:rPr>
        <w:rFonts w:ascii="Symbol" w:hAnsi="Symbol" w:hint="default"/>
      </w:rPr>
    </w:lvl>
    <w:lvl w:ilvl="4" w:tplc="E18EBDB0">
      <w:start w:val="1"/>
      <w:numFmt w:val="bullet"/>
      <w:lvlText w:val="o"/>
      <w:lvlJc w:val="left"/>
      <w:pPr>
        <w:ind w:left="3600" w:hanging="360"/>
      </w:pPr>
      <w:rPr>
        <w:rFonts w:ascii="Courier New" w:hAnsi="Courier New" w:hint="default"/>
      </w:rPr>
    </w:lvl>
    <w:lvl w:ilvl="5" w:tplc="B83C4720">
      <w:start w:val="1"/>
      <w:numFmt w:val="bullet"/>
      <w:lvlText w:val=""/>
      <w:lvlJc w:val="left"/>
      <w:pPr>
        <w:ind w:left="4320" w:hanging="360"/>
      </w:pPr>
      <w:rPr>
        <w:rFonts w:ascii="Wingdings" w:hAnsi="Wingdings" w:hint="default"/>
      </w:rPr>
    </w:lvl>
    <w:lvl w:ilvl="6" w:tplc="EC92331C">
      <w:start w:val="1"/>
      <w:numFmt w:val="bullet"/>
      <w:lvlText w:val=""/>
      <w:lvlJc w:val="left"/>
      <w:pPr>
        <w:ind w:left="5040" w:hanging="360"/>
      </w:pPr>
      <w:rPr>
        <w:rFonts w:ascii="Symbol" w:hAnsi="Symbol" w:hint="default"/>
      </w:rPr>
    </w:lvl>
    <w:lvl w:ilvl="7" w:tplc="193EB5A2">
      <w:start w:val="1"/>
      <w:numFmt w:val="bullet"/>
      <w:lvlText w:val="o"/>
      <w:lvlJc w:val="left"/>
      <w:pPr>
        <w:ind w:left="5760" w:hanging="360"/>
      </w:pPr>
      <w:rPr>
        <w:rFonts w:ascii="Courier New" w:hAnsi="Courier New" w:hint="default"/>
      </w:rPr>
    </w:lvl>
    <w:lvl w:ilvl="8" w:tplc="7ED8C412">
      <w:start w:val="1"/>
      <w:numFmt w:val="bullet"/>
      <w:lvlText w:val=""/>
      <w:lvlJc w:val="left"/>
      <w:pPr>
        <w:ind w:left="6480" w:hanging="360"/>
      </w:pPr>
      <w:rPr>
        <w:rFonts w:ascii="Wingdings" w:hAnsi="Wingdings" w:hint="default"/>
      </w:rPr>
    </w:lvl>
  </w:abstractNum>
  <w:abstractNum w:abstractNumId="9" w15:restartNumberingAfterBreak="0">
    <w:nsid w:val="7CDF441E"/>
    <w:multiLevelType w:val="hybridMultilevel"/>
    <w:tmpl w:val="E7C4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9"/>
  </w:num>
  <w:num w:numId="6">
    <w:abstractNumId w:val="7"/>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8E"/>
    <w:rsid w:val="00003721"/>
    <w:rsid w:val="00011720"/>
    <w:rsid w:val="00015400"/>
    <w:rsid w:val="00017BC5"/>
    <w:rsid w:val="0003557D"/>
    <w:rsid w:val="000502E6"/>
    <w:rsid w:val="00051422"/>
    <w:rsid w:val="00054DB1"/>
    <w:rsid w:val="00056D15"/>
    <w:rsid w:val="000638C1"/>
    <w:rsid w:val="000641ED"/>
    <w:rsid w:val="00072D89"/>
    <w:rsid w:val="00075988"/>
    <w:rsid w:val="0008279C"/>
    <w:rsid w:val="00093C56"/>
    <w:rsid w:val="000958D7"/>
    <w:rsid w:val="000A2BA0"/>
    <w:rsid w:val="000A5A2A"/>
    <w:rsid w:val="000B0A38"/>
    <w:rsid w:val="000B1192"/>
    <w:rsid w:val="000B2F79"/>
    <w:rsid w:val="000B393F"/>
    <w:rsid w:val="000C24CC"/>
    <w:rsid w:val="000C2B54"/>
    <w:rsid w:val="000C6814"/>
    <w:rsid w:val="000D1F00"/>
    <w:rsid w:val="000D695C"/>
    <w:rsid w:val="000E127F"/>
    <w:rsid w:val="000F1123"/>
    <w:rsid w:val="000F16FE"/>
    <w:rsid w:val="000F311D"/>
    <w:rsid w:val="000F3BBC"/>
    <w:rsid w:val="000F42F0"/>
    <w:rsid w:val="001016DA"/>
    <w:rsid w:val="00103475"/>
    <w:rsid w:val="00112080"/>
    <w:rsid w:val="001161AD"/>
    <w:rsid w:val="00117031"/>
    <w:rsid w:val="001171D8"/>
    <w:rsid w:val="0011733B"/>
    <w:rsid w:val="00123EA4"/>
    <w:rsid w:val="00134299"/>
    <w:rsid w:val="0013604E"/>
    <w:rsid w:val="00136329"/>
    <w:rsid w:val="00144644"/>
    <w:rsid w:val="001451F6"/>
    <w:rsid w:val="00146AB2"/>
    <w:rsid w:val="001476B7"/>
    <w:rsid w:val="00155F44"/>
    <w:rsid w:val="0015610C"/>
    <w:rsid w:val="001603E5"/>
    <w:rsid w:val="00160A60"/>
    <w:rsid w:val="0016187A"/>
    <w:rsid w:val="00161D9B"/>
    <w:rsid w:val="00162A50"/>
    <w:rsid w:val="00163C1D"/>
    <w:rsid w:val="001679F2"/>
    <w:rsid w:val="00177CAC"/>
    <w:rsid w:val="00180ED4"/>
    <w:rsid w:val="001833A8"/>
    <w:rsid w:val="00184014"/>
    <w:rsid w:val="00184E3A"/>
    <w:rsid w:val="00185852"/>
    <w:rsid w:val="00185E95"/>
    <w:rsid w:val="00187662"/>
    <w:rsid w:val="00187D9C"/>
    <w:rsid w:val="0019401A"/>
    <w:rsid w:val="0019427C"/>
    <w:rsid w:val="00196392"/>
    <w:rsid w:val="001A2F62"/>
    <w:rsid w:val="001A6086"/>
    <w:rsid w:val="001C33E1"/>
    <w:rsid w:val="001C4B06"/>
    <w:rsid w:val="001D4100"/>
    <w:rsid w:val="001E246A"/>
    <w:rsid w:val="001E366B"/>
    <w:rsid w:val="001E372C"/>
    <w:rsid w:val="001E4B17"/>
    <w:rsid w:val="001F297D"/>
    <w:rsid w:val="001F3780"/>
    <w:rsid w:val="001F511A"/>
    <w:rsid w:val="001F600A"/>
    <w:rsid w:val="00212452"/>
    <w:rsid w:val="002143DA"/>
    <w:rsid w:val="002156B2"/>
    <w:rsid w:val="0021732D"/>
    <w:rsid w:val="0022009A"/>
    <w:rsid w:val="00234B7D"/>
    <w:rsid w:val="002413D3"/>
    <w:rsid w:val="0024306E"/>
    <w:rsid w:val="00251A42"/>
    <w:rsid w:val="002579B5"/>
    <w:rsid w:val="00262705"/>
    <w:rsid w:val="00275024"/>
    <w:rsid w:val="00275884"/>
    <w:rsid w:val="00281DD3"/>
    <w:rsid w:val="00285E61"/>
    <w:rsid w:val="00290221"/>
    <w:rsid w:val="002916FF"/>
    <w:rsid w:val="00293258"/>
    <w:rsid w:val="00293677"/>
    <w:rsid w:val="002A1992"/>
    <w:rsid w:val="002A2DC9"/>
    <w:rsid w:val="002B69EA"/>
    <w:rsid w:val="002C422D"/>
    <w:rsid w:val="002D2FB7"/>
    <w:rsid w:val="002D3A56"/>
    <w:rsid w:val="002D5285"/>
    <w:rsid w:val="002D6145"/>
    <w:rsid w:val="002E1C27"/>
    <w:rsid w:val="002F2780"/>
    <w:rsid w:val="00311852"/>
    <w:rsid w:val="0031323D"/>
    <w:rsid w:val="0032284F"/>
    <w:rsid w:val="0032735F"/>
    <w:rsid w:val="0033106E"/>
    <w:rsid w:val="00334070"/>
    <w:rsid w:val="003344CF"/>
    <w:rsid w:val="003450D0"/>
    <w:rsid w:val="003474EC"/>
    <w:rsid w:val="003507E0"/>
    <w:rsid w:val="00350E0C"/>
    <w:rsid w:val="00360E32"/>
    <w:rsid w:val="003627D1"/>
    <w:rsid w:val="003667E9"/>
    <w:rsid w:val="00375BC0"/>
    <w:rsid w:val="00387CB6"/>
    <w:rsid w:val="00394313"/>
    <w:rsid w:val="00394912"/>
    <w:rsid w:val="00394B42"/>
    <w:rsid w:val="00395783"/>
    <w:rsid w:val="003A06A8"/>
    <w:rsid w:val="003A7D71"/>
    <w:rsid w:val="003B170D"/>
    <w:rsid w:val="003C1E42"/>
    <w:rsid w:val="003C2328"/>
    <w:rsid w:val="003C6E6C"/>
    <w:rsid w:val="003C6F86"/>
    <w:rsid w:val="003E27CB"/>
    <w:rsid w:val="00400A2A"/>
    <w:rsid w:val="004041A2"/>
    <w:rsid w:val="0041118D"/>
    <w:rsid w:val="00411536"/>
    <w:rsid w:val="00412B56"/>
    <w:rsid w:val="00413C4B"/>
    <w:rsid w:val="00420C1D"/>
    <w:rsid w:val="00422D1A"/>
    <w:rsid w:val="00430DEC"/>
    <w:rsid w:val="00431100"/>
    <w:rsid w:val="00432FB7"/>
    <w:rsid w:val="0043643D"/>
    <w:rsid w:val="00442FE3"/>
    <w:rsid w:val="004430C7"/>
    <w:rsid w:val="004452C4"/>
    <w:rsid w:val="00446840"/>
    <w:rsid w:val="00460AFB"/>
    <w:rsid w:val="00461482"/>
    <w:rsid w:val="0047120E"/>
    <w:rsid w:val="00472440"/>
    <w:rsid w:val="00474872"/>
    <w:rsid w:val="004750A6"/>
    <w:rsid w:val="00475F62"/>
    <w:rsid w:val="00495578"/>
    <w:rsid w:val="0049597E"/>
    <w:rsid w:val="004A160C"/>
    <w:rsid w:val="004A2E14"/>
    <w:rsid w:val="004A76A6"/>
    <w:rsid w:val="004B5D4A"/>
    <w:rsid w:val="004B7C6D"/>
    <w:rsid w:val="004C1E39"/>
    <w:rsid w:val="004C400B"/>
    <w:rsid w:val="004C4158"/>
    <w:rsid w:val="004E077C"/>
    <w:rsid w:val="004E230C"/>
    <w:rsid w:val="004E5770"/>
    <w:rsid w:val="004F6BED"/>
    <w:rsid w:val="00503F16"/>
    <w:rsid w:val="0051600E"/>
    <w:rsid w:val="005274CC"/>
    <w:rsid w:val="00531B1C"/>
    <w:rsid w:val="00535488"/>
    <w:rsid w:val="005358A3"/>
    <w:rsid w:val="00543D70"/>
    <w:rsid w:val="00553251"/>
    <w:rsid w:val="00554B5A"/>
    <w:rsid w:val="00564746"/>
    <w:rsid w:val="00564C9F"/>
    <w:rsid w:val="0057343A"/>
    <w:rsid w:val="00574082"/>
    <w:rsid w:val="00581BB0"/>
    <w:rsid w:val="005838A9"/>
    <w:rsid w:val="00583BEE"/>
    <w:rsid w:val="00585B72"/>
    <w:rsid w:val="00586237"/>
    <w:rsid w:val="0058777F"/>
    <w:rsid w:val="00593742"/>
    <w:rsid w:val="005B0401"/>
    <w:rsid w:val="005B0950"/>
    <w:rsid w:val="005B59BB"/>
    <w:rsid w:val="005B5DD8"/>
    <w:rsid w:val="005C1745"/>
    <w:rsid w:val="005C2CD3"/>
    <w:rsid w:val="005C36FA"/>
    <w:rsid w:val="005C7A21"/>
    <w:rsid w:val="005D02EF"/>
    <w:rsid w:val="005D0ECA"/>
    <w:rsid w:val="005D0F48"/>
    <w:rsid w:val="005D5457"/>
    <w:rsid w:val="005D7BDC"/>
    <w:rsid w:val="005E5A5C"/>
    <w:rsid w:val="005E637C"/>
    <w:rsid w:val="005E7906"/>
    <w:rsid w:val="005F02A1"/>
    <w:rsid w:val="005F21B2"/>
    <w:rsid w:val="00611314"/>
    <w:rsid w:val="00612567"/>
    <w:rsid w:val="00612B9A"/>
    <w:rsid w:val="00620292"/>
    <w:rsid w:val="0062054F"/>
    <w:rsid w:val="00620BE5"/>
    <w:rsid w:val="00622F6A"/>
    <w:rsid w:val="00626C03"/>
    <w:rsid w:val="00626FC6"/>
    <w:rsid w:val="00630CE3"/>
    <w:rsid w:val="006343BA"/>
    <w:rsid w:val="006357BF"/>
    <w:rsid w:val="006415C4"/>
    <w:rsid w:val="00644F9B"/>
    <w:rsid w:val="00651FC8"/>
    <w:rsid w:val="00655EBC"/>
    <w:rsid w:val="00661310"/>
    <w:rsid w:val="006678D3"/>
    <w:rsid w:val="006708BB"/>
    <w:rsid w:val="00672CD7"/>
    <w:rsid w:val="00675083"/>
    <w:rsid w:val="00691D65"/>
    <w:rsid w:val="00694CDD"/>
    <w:rsid w:val="006959E8"/>
    <w:rsid w:val="006978E5"/>
    <w:rsid w:val="006A2006"/>
    <w:rsid w:val="006A3C20"/>
    <w:rsid w:val="006A4470"/>
    <w:rsid w:val="006B3AA0"/>
    <w:rsid w:val="006B60E3"/>
    <w:rsid w:val="006B78CE"/>
    <w:rsid w:val="006C4F6D"/>
    <w:rsid w:val="006E787C"/>
    <w:rsid w:val="006E7B27"/>
    <w:rsid w:val="006F01C8"/>
    <w:rsid w:val="006F0DBE"/>
    <w:rsid w:val="006F0DFC"/>
    <w:rsid w:val="006F236F"/>
    <w:rsid w:val="006F5009"/>
    <w:rsid w:val="006F539A"/>
    <w:rsid w:val="006F7B36"/>
    <w:rsid w:val="0070020D"/>
    <w:rsid w:val="0070034B"/>
    <w:rsid w:val="00707E09"/>
    <w:rsid w:val="00710455"/>
    <w:rsid w:val="00714A24"/>
    <w:rsid w:val="00715ECC"/>
    <w:rsid w:val="00722171"/>
    <w:rsid w:val="0072376D"/>
    <w:rsid w:val="00723B00"/>
    <w:rsid w:val="00733C4D"/>
    <w:rsid w:val="00746CE6"/>
    <w:rsid w:val="007474DE"/>
    <w:rsid w:val="007539B9"/>
    <w:rsid w:val="00753D7B"/>
    <w:rsid w:val="00753E56"/>
    <w:rsid w:val="00754596"/>
    <w:rsid w:val="00754723"/>
    <w:rsid w:val="00754C09"/>
    <w:rsid w:val="00754DFA"/>
    <w:rsid w:val="00757F47"/>
    <w:rsid w:val="00761F67"/>
    <w:rsid w:val="00772BD0"/>
    <w:rsid w:val="00773403"/>
    <w:rsid w:val="007743DF"/>
    <w:rsid w:val="007763D1"/>
    <w:rsid w:val="007804B8"/>
    <w:rsid w:val="0078139F"/>
    <w:rsid w:val="007842FF"/>
    <w:rsid w:val="00787C45"/>
    <w:rsid w:val="00792F71"/>
    <w:rsid w:val="00793F8C"/>
    <w:rsid w:val="00795FA7"/>
    <w:rsid w:val="00797887"/>
    <w:rsid w:val="007A24EB"/>
    <w:rsid w:val="007A310A"/>
    <w:rsid w:val="007A4A77"/>
    <w:rsid w:val="007A54C3"/>
    <w:rsid w:val="007A5528"/>
    <w:rsid w:val="007A5E88"/>
    <w:rsid w:val="007A6FA1"/>
    <w:rsid w:val="007B00DA"/>
    <w:rsid w:val="007B03FB"/>
    <w:rsid w:val="007B0EA8"/>
    <w:rsid w:val="007B2BAD"/>
    <w:rsid w:val="007C305C"/>
    <w:rsid w:val="007C3662"/>
    <w:rsid w:val="007C6EDE"/>
    <w:rsid w:val="007C717A"/>
    <w:rsid w:val="007D2AE8"/>
    <w:rsid w:val="007D43F2"/>
    <w:rsid w:val="007E0955"/>
    <w:rsid w:val="007E1271"/>
    <w:rsid w:val="007E158D"/>
    <w:rsid w:val="007E6724"/>
    <w:rsid w:val="007F09EC"/>
    <w:rsid w:val="007F39CC"/>
    <w:rsid w:val="007F4766"/>
    <w:rsid w:val="007F56ED"/>
    <w:rsid w:val="00800BEF"/>
    <w:rsid w:val="00805DA8"/>
    <w:rsid w:val="008075C4"/>
    <w:rsid w:val="008142AF"/>
    <w:rsid w:val="00814DAA"/>
    <w:rsid w:val="00815759"/>
    <w:rsid w:val="008178B7"/>
    <w:rsid w:val="00817DCB"/>
    <w:rsid w:val="00821335"/>
    <w:rsid w:val="00822D2F"/>
    <w:rsid w:val="00824EB5"/>
    <w:rsid w:val="008327CC"/>
    <w:rsid w:val="00835602"/>
    <w:rsid w:val="00835D13"/>
    <w:rsid w:val="00843D31"/>
    <w:rsid w:val="00844746"/>
    <w:rsid w:val="00844B65"/>
    <w:rsid w:val="00847BE7"/>
    <w:rsid w:val="00853FB0"/>
    <w:rsid w:val="00863556"/>
    <w:rsid w:val="0087089D"/>
    <w:rsid w:val="00874342"/>
    <w:rsid w:val="008746A6"/>
    <w:rsid w:val="00874ABF"/>
    <w:rsid w:val="00881A77"/>
    <w:rsid w:val="00881ACA"/>
    <w:rsid w:val="00881E93"/>
    <w:rsid w:val="00893CCF"/>
    <w:rsid w:val="008A1F7D"/>
    <w:rsid w:val="008A5F40"/>
    <w:rsid w:val="008A678B"/>
    <w:rsid w:val="008A7909"/>
    <w:rsid w:val="008B158A"/>
    <w:rsid w:val="008C7E54"/>
    <w:rsid w:val="008D48CC"/>
    <w:rsid w:val="008D4B8F"/>
    <w:rsid w:val="008F1C21"/>
    <w:rsid w:val="008F3477"/>
    <w:rsid w:val="008F52D9"/>
    <w:rsid w:val="008F7D3E"/>
    <w:rsid w:val="00903021"/>
    <w:rsid w:val="009118DE"/>
    <w:rsid w:val="009139B2"/>
    <w:rsid w:val="009148CE"/>
    <w:rsid w:val="00915E52"/>
    <w:rsid w:val="009212A6"/>
    <w:rsid w:val="009246D6"/>
    <w:rsid w:val="00933B2A"/>
    <w:rsid w:val="00941A42"/>
    <w:rsid w:val="0094295D"/>
    <w:rsid w:val="00943843"/>
    <w:rsid w:val="0094785A"/>
    <w:rsid w:val="00950120"/>
    <w:rsid w:val="00951CCC"/>
    <w:rsid w:val="0095482E"/>
    <w:rsid w:val="009552B4"/>
    <w:rsid w:val="0096203C"/>
    <w:rsid w:val="00963326"/>
    <w:rsid w:val="00966914"/>
    <w:rsid w:val="0097027A"/>
    <w:rsid w:val="00972798"/>
    <w:rsid w:val="00973AF7"/>
    <w:rsid w:val="00975F44"/>
    <w:rsid w:val="00982397"/>
    <w:rsid w:val="0099164B"/>
    <w:rsid w:val="00991925"/>
    <w:rsid w:val="0099266E"/>
    <w:rsid w:val="00997985"/>
    <w:rsid w:val="009A1373"/>
    <w:rsid w:val="009A147C"/>
    <w:rsid w:val="009A5011"/>
    <w:rsid w:val="009A6210"/>
    <w:rsid w:val="009B7B2A"/>
    <w:rsid w:val="009C1F1D"/>
    <w:rsid w:val="009C21F5"/>
    <w:rsid w:val="009C52E5"/>
    <w:rsid w:val="009C5CA4"/>
    <w:rsid w:val="009C6851"/>
    <w:rsid w:val="009C7AB4"/>
    <w:rsid w:val="009D0559"/>
    <w:rsid w:val="009D3F33"/>
    <w:rsid w:val="009D653D"/>
    <w:rsid w:val="009E0092"/>
    <w:rsid w:val="009E21D0"/>
    <w:rsid w:val="009E227B"/>
    <w:rsid w:val="009E3E89"/>
    <w:rsid w:val="009E4D69"/>
    <w:rsid w:val="009F0AC7"/>
    <w:rsid w:val="009F40E3"/>
    <w:rsid w:val="009F7ACB"/>
    <w:rsid w:val="00A02EA7"/>
    <w:rsid w:val="00A03D33"/>
    <w:rsid w:val="00A0777F"/>
    <w:rsid w:val="00A13120"/>
    <w:rsid w:val="00A14F9B"/>
    <w:rsid w:val="00A15D90"/>
    <w:rsid w:val="00A20EF7"/>
    <w:rsid w:val="00A2378E"/>
    <w:rsid w:val="00A252C2"/>
    <w:rsid w:val="00A264C9"/>
    <w:rsid w:val="00A34C70"/>
    <w:rsid w:val="00A37ABC"/>
    <w:rsid w:val="00A52459"/>
    <w:rsid w:val="00A562F3"/>
    <w:rsid w:val="00A67C2C"/>
    <w:rsid w:val="00A73995"/>
    <w:rsid w:val="00A77E11"/>
    <w:rsid w:val="00A844AF"/>
    <w:rsid w:val="00A95AB5"/>
    <w:rsid w:val="00AA29CB"/>
    <w:rsid w:val="00AA6252"/>
    <w:rsid w:val="00AA66CD"/>
    <w:rsid w:val="00AB527E"/>
    <w:rsid w:val="00AB534C"/>
    <w:rsid w:val="00AB70C4"/>
    <w:rsid w:val="00AC49FF"/>
    <w:rsid w:val="00AD31C9"/>
    <w:rsid w:val="00AE1E83"/>
    <w:rsid w:val="00AF0508"/>
    <w:rsid w:val="00AF22A4"/>
    <w:rsid w:val="00AF2EA4"/>
    <w:rsid w:val="00AF47F3"/>
    <w:rsid w:val="00B00D3F"/>
    <w:rsid w:val="00B11262"/>
    <w:rsid w:val="00B178CA"/>
    <w:rsid w:val="00B20946"/>
    <w:rsid w:val="00B20AAE"/>
    <w:rsid w:val="00B22C25"/>
    <w:rsid w:val="00B23C86"/>
    <w:rsid w:val="00B250E8"/>
    <w:rsid w:val="00B25ABB"/>
    <w:rsid w:val="00B314EE"/>
    <w:rsid w:val="00B33FA3"/>
    <w:rsid w:val="00B3757B"/>
    <w:rsid w:val="00B43135"/>
    <w:rsid w:val="00B55E24"/>
    <w:rsid w:val="00B705D3"/>
    <w:rsid w:val="00B727DD"/>
    <w:rsid w:val="00B76A3E"/>
    <w:rsid w:val="00B819CC"/>
    <w:rsid w:val="00BA15C3"/>
    <w:rsid w:val="00BA1EF6"/>
    <w:rsid w:val="00BA734D"/>
    <w:rsid w:val="00BB27CA"/>
    <w:rsid w:val="00BC1FE3"/>
    <w:rsid w:val="00BC6769"/>
    <w:rsid w:val="00BE5560"/>
    <w:rsid w:val="00BF2C02"/>
    <w:rsid w:val="00BF7E01"/>
    <w:rsid w:val="00BF7EB0"/>
    <w:rsid w:val="00C25E7B"/>
    <w:rsid w:val="00C270EC"/>
    <w:rsid w:val="00C31CF7"/>
    <w:rsid w:val="00C33CB6"/>
    <w:rsid w:val="00C359AF"/>
    <w:rsid w:val="00C379A9"/>
    <w:rsid w:val="00C43F55"/>
    <w:rsid w:val="00C46AD6"/>
    <w:rsid w:val="00C46CA9"/>
    <w:rsid w:val="00C50004"/>
    <w:rsid w:val="00C508D1"/>
    <w:rsid w:val="00C51044"/>
    <w:rsid w:val="00C52E70"/>
    <w:rsid w:val="00C53939"/>
    <w:rsid w:val="00C570B5"/>
    <w:rsid w:val="00C64261"/>
    <w:rsid w:val="00C70347"/>
    <w:rsid w:val="00C72336"/>
    <w:rsid w:val="00C74593"/>
    <w:rsid w:val="00C808D3"/>
    <w:rsid w:val="00C8314B"/>
    <w:rsid w:val="00C85392"/>
    <w:rsid w:val="00C86CE5"/>
    <w:rsid w:val="00C86DDD"/>
    <w:rsid w:val="00CB1985"/>
    <w:rsid w:val="00CB6461"/>
    <w:rsid w:val="00CC4B42"/>
    <w:rsid w:val="00CC7C2B"/>
    <w:rsid w:val="00CC7DF9"/>
    <w:rsid w:val="00CE610C"/>
    <w:rsid w:val="00CF04A2"/>
    <w:rsid w:val="00CF0BF4"/>
    <w:rsid w:val="00CF2D8A"/>
    <w:rsid w:val="00CF4BDC"/>
    <w:rsid w:val="00CF6779"/>
    <w:rsid w:val="00D02C7E"/>
    <w:rsid w:val="00D06222"/>
    <w:rsid w:val="00D06F8A"/>
    <w:rsid w:val="00D162AE"/>
    <w:rsid w:val="00D21515"/>
    <w:rsid w:val="00D22C67"/>
    <w:rsid w:val="00D230F6"/>
    <w:rsid w:val="00D24744"/>
    <w:rsid w:val="00D26F96"/>
    <w:rsid w:val="00D42485"/>
    <w:rsid w:val="00D42512"/>
    <w:rsid w:val="00D44A1F"/>
    <w:rsid w:val="00D45A5D"/>
    <w:rsid w:val="00D46DAE"/>
    <w:rsid w:val="00D50481"/>
    <w:rsid w:val="00D52B2D"/>
    <w:rsid w:val="00D53170"/>
    <w:rsid w:val="00D54D5A"/>
    <w:rsid w:val="00D55D25"/>
    <w:rsid w:val="00D613A0"/>
    <w:rsid w:val="00D62ED0"/>
    <w:rsid w:val="00D641F9"/>
    <w:rsid w:val="00D648F4"/>
    <w:rsid w:val="00D73534"/>
    <w:rsid w:val="00D73954"/>
    <w:rsid w:val="00D8222F"/>
    <w:rsid w:val="00D8290C"/>
    <w:rsid w:val="00D84307"/>
    <w:rsid w:val="00D85781"/>
    <w:rsid w:val="00D862BB"/>
    <w:rsid w:val="00D966F5"/>
    <w:rsid w:val="00DA1585"/>
    <w:rsid w:val="00DA3AB2"/>
    <w:rsid w:val="00DA65B7"/>
    <w:rsid w:val="00DA7C38"/>
    <w:rsid w:val="00DB4DB2"/>
    <w:rsid w:val="00DB71AC"/>
    <w:rsid w:val="00DC4399"/>
    <w:rsid w:val="00DD54F4"/>
    <w:rsid w:val="00DD624E"/>
    <w:rsid w:val="00DD6B19"/>
    <w:rsid w:val="00DF6EEA"/>
    <w:rsid w:val="00E03D5C"/>
    <w:rsid w:val="00E0540D"/>
    <w:rsid w:val="00E15678"/>
    <w:rsid w:val="00E16696"/>
    <w:rsid w:val="00E16E56"/>
    <w:rsid w:val="00E220AA"/>
    <w:rsid w:val="00E24A7B"/>
    <w:rsid w:val="00E262A2"/>
    <w:rsid w:val="00E33486"/>
    <w:rsid w:val="00E34D57"/>
    <w:rsid w:val="00E35806"/>
    <w:rsid w:val="00E35823"/>
    <w:rsid w:val="00E36F8A"/>
    <w:rsid w:val="00E370B1"/>
    <w:rsid w:val="00E37661"/>
    <w:rsid w:val="00E4011C"/>
    <w:rsid w:val="00E42CF6"/>
    <w:rsid w:val="00E49BC1"/>
    <w:rsid w:val="00E51D31"/>
    <w:rsid w:val="00E60249"/>
    <w:rsid w:val="00E60F48"/>
    <w:rsid w:val="00E655B4"/>
    <w:rsid w:val="00E6562C"/>
    <w:rsid w:val="00E66023"/>
    <w:rsid w:val="00E70439"/>
    <w:rsid w:val="00E72E70"/>
    <w:rsid w:val="00E75D96"/>
    <w:rsid w:val="00E7608C"/>
    <w:rsid w:val="00E76E8E"/>
    <w:rsid w:val="00E81487"/>
    <w:rsid w:val="00E81782"/>
    <w:rsid w:val="00E866AE"/>
    <w:rsid w:val="00E87C69"/>
    <w:rsid w:val="00E978CB"/>
    <w:rsid w:val="00EA59DC"/>
    <w:rsid w:val="00EA63CF"/>
    <w:rsid w:val="00EA66C3"/>
    <w:rsid w:val="00EB1003"/>
    <w:rsid w:val="00EB28E2"/>
    <w:rsid w:val="00EC52F6"/>
    <w:rsid w:val="00ED2169"/>
    <w:rsid w:val="00EE2497"/>
    <w:rsid w:val="00EE29AC"/>
    <w:rsid w:val="00EF1BFE"/>
    <w:rsid w:val="00EF7646"/>
    <w:rsid w:val="00EF7FE6"/>
    <w:rsid w:val="00F07FDB"/>
    <w:rsid w:val="00F203BA"/>
    <w:rsid w:val="00F23200"/>
    <w:rsid w:val="00F371A6"/>
    <w:rsid w:val="00F405E5"/>
    <w:rsid w:val="00F423D0"/>
    <w:rsid w:val="00F4625F"/>
    <w:rsid w:val="00F46BEC"/>
    <w:rsid w:val="00F47F57"/>
    <w:rsid w:val="00F6311E"/>
    <w:rsid w:val="00F6676F"/>
    <w:rsid w:val="00F860F1"/>
    <w:rsid w:val="00F907B3"/>
    <w:rsid w:val="00F92120"/>
    <w:rsid w:val="00F956BC"/>
    <w:rsid w:val="00F9694A"/>
    <w:rsid w:val="00FA3AD8"/>
    <w:rsid w:val="00FA4FC8"/>
    <w:rsid w:val="00FB0B6E"/>
    <w:rsid w:val="00FB22B3"/>
    <w:rsid w:val="00FBD784"/>
    <w:rsid w:val="00FC4417"/>
    <w:rsid w:val="00FC5B14"/>
    <w:rsid w:val="00FF2A85"/>
    <w:rsid w:val="00FF376B"/>
    <w:rsid w:val="00FF65FF"/>
    <w:rsid w:val="015491D0"/>
    <w:rsid w:val="0156B19F"/>
    <w:rsid w:val="0182440B"/>
    <w:rsid w:val="01B06328"/>
    <w:rsid w:val="01F061B9"/>
    <w:rsid w:val="0200E08C"/>
    <w:rsid w:val="02D3C034"/>
    <w:rsid w:val="047BF76F"/>
    <w:rsid w:val="0553F1AC"/>
    <w:rsid w:val="0651F2D4"/>
    <w:rsid w:val="0713AB49"/>
    <w:rsid w:val="07521CD3"/>
    <w:rsid w:val="0766E1A7"/>
    <w:rsid w:val="087094F4"/>
    <w:rsid w:val="089AA494"/>
    <w:rsid w:val="08B65F48"/>
    <w:rsid w:val="09084502"/>
    <w:rsid w:val="0990F4B5"/>
    <w:rsid w:val="09C56717"/>
    <w:rsid w:val="0AE0C5E7"/>
    <w:rsid w:val="0B455104"/>
    <w:rsid w:val="0BCC9728"/>
    <w:rsid w:val="0BF4BB04"/>
    <w:rsid w:val="0C0F008A"/>
    <w:rsid w:val="0C535039"/>
    <w:rsid w:val="0DF30729"/>
    <w:rsid w:val="0E26A797"/>
    <w:rsid w:val="0EC0F5B2"/>
    <w:rsid w:val="0F34E9DF"/>
    <w:rsid w:val="0F839A9F"/>
    <w:rsid w:val="0FE3B2E7"/>
    <w:rsid w:val="0FF39267"/>
    <w:rsid w:val="0FF4D5D4"/>
    <w:rsid w:val="1000C999"/>
    <w:rsid w:val="1005A8E2"/>
    <w:rsid w:val="109310DE"/>
    <w:rsid w:val="109F191B"/>
    <w:rsid w:val="10D3EB53"/>
    <w:rsid w:val="110B378B"/>
    <w:rsid w:val="119BF714"/>
    <w:rsid w:val="12526B68"/>
    <w:rsid w:val="1275442B"/>
    <w:rsid w:val="127D31B1"/>
    <w:rsid w:val="12CB75D4"/>
    <w:rsid w:val="12D2DA14"/>
    <w:rsid w:val="13ACA8BC"/>
    <w:rsid w:val="13EB49F7"/>
    <w:rsid w:val="146A57EE"/>
    <w:rsid w:val="147E0649"/>
    <w:rsid w:val="14DED16B"/>
    <w:rsid w:val="153DC73D"/>
    <w:rsid w:val="1595F590"/>
    <w:rsid w:val="1632C375"/>
    <w:rsid w:val="16457DE4"/>
    <w:rsid w:val="16513FCE"/>
    <w:rsid w:val="16DF510E"/>
    <w:rsid w:val="16E4193F"/>
    <w:rsid w:val="177E53BF"/>
    <w:rsid w:val="189F6864"/>
    <w:rsid w:val="18FC0C45"/>
    <w:rsid w:val="191852DC"/>
    <w:rsid w:val="1962D4B3"/>
    <w:rsid w:val="1987D137"/>
    <w:rsid w:val="19E01993"/>
    <w:rsid w:val="19EC5AA9"/>
    <w:rsid w:val="1A15589C"/>
    <w:rsid w:val="1A5B481F"/>
    <w:rsid w:val="1AFCBE82"/>
    <w:rsid w:val="1B25FAD9"/>
    <w:rsid w:val="1CF7D04A"/>
    <w:rsid w:val="1CFB4421"/>
    <w:rsid w:val="1D8FCF3F"/>
    <w:rsid w:val="1DDD1062"/>
    <w:rsid w:val="1ED0AE5F"/>
    <w:rsid w:val="1F12D314"/>
    <w:rsid w:val="1F3D97DB"/>
    <w:rsid w:val="201E776E"/>
    <w:rsid w:val="2026F2FA"/>
    <w:rsid w:val="204038A7"/>
    <w:rsid w:val="21327E9E"/>
    <w:rsid w:val="21968C10"/>
    <w:rsid w:val="21BAC4BC"/>
    <w:rsid w:val="21F0F3A1"/>
    <w:rsid w:val="220E0C59"/>
    <w:rsid w:val="230B0249"/>
    <w:rsid w:val="247605E2"/>
    <w:rsid w:val="251FD733"/>
    <w:rsid w:val="26231768"/>
    <w:rsid w:val="27D6512C"/>
    <w:rsid w:val="284EBBF4"/>
    <w:rsid w:val="28E87442"/>
    <w:rsid w:val="28FD818C"/>
    <w:rsid w:val="293119F4"/>
    <w:rsid w:val="29D259B0"/>
    <w:rsid w:val="2A5842B7"/>
    <w:rsid w:val="2A60FBC7"/>
    <w:rsid w:val="2A67C538"/>
    <w:rsid w:val="2B3C716E"/>
    <w:rsid w:val="2B4F4F49"/>
    <w:rsid w:val="2C0252E9"/>
    <w:rsid w:val="2C1D21E0"/>
    <w:rsid w:val="2C8D9BF3"/>
    <w:rsid w:val="2C993B57"/>
    <w:rsid w:val="2D47B380"/>
    <w:rsid w:val="2DE7E007"/>
    <w:rsid w:val="2DF13B62"/>
    <w:rsid w:val="2DF7C050"/>
    <w:rsid w:val="2F5DE244"/>
    <w:rsid w:val="2FE1E513"/>
    <w:rsid w:val="30B77CFA"/>
    <w:rsid w:val="313D7B0C"/>
    <w:rsid w:val="3181E20A"/>
    <w:rsid w:val="3185B694"/>
    <w:rsid w:val="31F0A5F1"/>
    <w:rsid w:val="31FFB209"/>
    <w:rsid w:val="323470D1"/>
    <w:rsid w:val="32772CBB"/>
    <w:rsid w:val="3279F7D8"/>
    <w:rsid w:val="32880E25"/>
    <w:rsid w:val="328B5C67"/>
    <w:rsid w:val="32903498"/>
    <w:rsid w:val="33308C72"/>
    <w:rsid w:val="33E2E580"/>
    <w:rsid w:val="35EB142F"/>
    <w:rsid w:val="36329AF1"/>
    <w:rsid w:val="37305B9F"/>
    <w:rsid w:val="373F58EC"/>
    <w:rsid w:val="37BCD0AB"/>
    <w:rsid w:val="37D57FEA"/>
    <w:rsid w:val="38727AEE"/>
    <w:rsid w:val="38C407E8"/>
    <w:rsid w:val="391335B9"/>
    <w:rsid w:val="39B01968"/>
    <w:rsid w:val="3A6209DA"/>
    <w:rsid w:val="3B3AF636"/>
    <w:rsid w:val="3B768361"/>
    <w:rsid w:val="3C089FEA"/>
    <w:rsid w:val="3C830262"/>
    <w:rsid w:val="3CF31A69"/>
    <w:rsid w:val="3D91D36C"/>
    <w:rsid w:val="3DB48E66"/>
    <w:rsid w:val="3E0EC922"/>
    <w:rsid w:val="3E3F4E57"/>
    <w:rsid w:val="3F684A2D"/>
    <w:rsid w:val="40072651"/>
    <w:rsid w:val="400989E0"/>
    <w:rsid w:val="40192EBA"/>
    <w:rsid w:val="403BC65B"/>
    <w:rsid w:val="40FB3793"/>
    <w:rsid w:val="415C67C9"/>
    <w:rsid w:val="415C9F13"/>
    <w:rsid w:val="41936B02"/>
    <w:rsid w:val="41CC9AED"/>
    <w:rsid w:val="422BD76F"/>
    <w:rsid w:val="427DC2E0"/>
    <w:rsid w:val="42A29655"/>
    <w:rsid w:val="42DBC3D8"/>
    <w:rsid w:val="43AA0B43"/>
    <w:rsid w:val="43C095FA"/>
    <w:rsid w:val="43C8FA67"/>
    <w:rsid w:val="44994AEE"/>
    <w:rsid w:val="44A8CCEE"/>
    <w:rsid w:val="44D58DED"/>
    <w:rsid w:val="44ED7CD6"/>
    <w:rsid w:val="450AB9F8"/>
    <w:rsid w:val="456C3529"/>
    <w:rsid w:val="45E6FCFE"/>
    <w:rsid w:val="45EDDC68"/>
    <w:rsid w:val="4637C672"/>
    <w:rsid w:val="475A192F"/>
    <w:rsid w:val="47B9D7A2"/>
    <w:rsid w:val="48345715"/>
    <w:rsid w:val="48855761"/>
    <w:rsid w:val="48A27AA5"/>
    <w:rsid w:val="48D3896E"/>
    <w:rsid w:val="48DFE401"/>
    <w:rsid w:val="4931ED4E"/>
    <w:rsid w:val="4A086B15"/>
    <w:rsid w:val="4AB12B4F"/>
    <w:rsid w:val="4AE62D17"/>
    <w:rsid w:val="4B141781"/>
    <w:rsid w:val="4B1D613C"/>
    <w:rsid w:val="4B830529"/>
    <w:rsid w:val="4B8315E8"/>
    <w:rsid w:val="4BAD21BF"/>
    <w:rsid w:val="4C5238C8"/>
    <w:rsid w:val="4D38F818"/>
    <w:rsid w:val="4D83C681"/>
    <w:rsid w:val="4E30CB7D"/>
    <w:rsid w:val="4E44BA83"/>
    <w:rsid w:val="4EAF606D"/>
    <w:rsid w:val="4ED38AAD"/>
    <w:rsid w:val="4EF9E8C0"/>
    <w:rsid w:val="4F0F25B5"/>
    <w:rsid w:val="4F51BACD"/>
    <w:rsid w:val="4F5297AA"/>
    <w:rsid w:val="4F685A90"/>
    <w:rsid w:val="4F7D224D"/>
    <w:rsid w:val="5095D7FC"/>
    <w:rsid w:val="50F3B4F4"/>
    <w:rsid w:val="51049BCA"/>
    <w:rsid w:val="51C0D278"/>
    <w:rsid w:val="51D41F96"/>
    <w:rsid w:val="52B31363"/>
    <w:rsid w:val="53DD0C4E"/>
    <w:rsid w:val="53ECF7B1"/>
    <w:rsid w:val="542BECEE"/>
    <w:rsid w:val="545BABE5"/>
    <w:rsid w:val="548B6814"/>
    <w:rsid w:val="54E2A016"/>
    <w:rsid w:val="551EC2C7"/>
    <w:rsid w:val="55AB60E1"/>
    <w:rsid w:val="55B018EF"/>
    <w:rsid w:val="55D6D011"/>
    <w:rsid w:val="5670F157"/>
    <w:rsid w:val="56E1F846"/>
    <w:rsid w:val="5706B56A"/>
    <w:rsid w:val="57D4902A"/>
    <w:rsid w:val="5848BBD8"/>
    <w:rsid w:val="590D6FDF"/>
    <w:rsid w:val="592EC8AB"/>
    <w:rsid w:val="59FD4695"/>
    <w:rsid w:val="5AAD2D43"/>
    <w:rsid w:val="5AEDEEC6"/>
    <w:rsid w:val="5C8EB452"/>
    <w:rsid w:val="5D37BD6A"/>
    <w:rsid w:val="5D3A5F73"/>
    <w:rsid w:val="5DE79CCD"/>
    <w:rsid w:val="5F003EC0"/>
    <w:rsid w:val="5F8C29B1"/>
    <w:rsid w:val="60C9EBAF"/>
    <w:rsid w:val="61D6470E"/>
    <w:rsid w:val="6263574D"/>
    <w:rsid w:val="629C2ABC"/>
    <w:rsid w:val="62E3DEC3"/>
    <w:rsid w:val="6370534F"/>
    <w:rsid w:val="6466F9CB"/>
    <w:rsid w:val="6534F18E"/>
    <w:rsid w:val="65556D93"/>
    <w:rsid w:val="65E42B98"/>
    <w:rsid w:val="65E5093C"/>
    <w:rsid w:val="67077373"/>
    <w:rsid w:val="6771C99A"/>
    <w:rsid w:val="6798272F"/>
    <w:rsid w:val="68BA94FD"/>
    <w:rsid w:val="68BB8608"/>
    <w:rsid w:val="6912C182"/>
    <w:rsid w:val="6968157A"/>
    <w:rsid w:val="69793BE8"/>
    <w:rsid w:val="6A0C0253"/>
    <w:rsid w:val="6B854AA2"/>
    <w:rsid w:val="6B9D27A9"/>
    <w:rsid w:val="6CC0ACD3"/>
    <w:rsid w:val="6D60D453"/>
    <w:rsid w:val="6E662DF9"/>
    <w:rsid w:val="6ECD6A91"/>
    <w:rsid w:val="6F43DDAF"/>
    <w:rsid w:val="6F603F22"/>
    <w:rsid w:val="7002511F"/>
    <w:rsid w:val="70832541"/>
    <w:rsid w:val="708EFBA4"/>
    <w:rsid w:val="70C37A3D"/>
    <w:rsid w:val="71547DA7"/>
    <w:rsid w:val="717B29C4"/>
    <w:rsid w:val="725508B2"/>
    <w:rsid w:val="72598FAB"/>
    <w:rsid w:val="72D813C1"/>
    <w:rsid w:val="73A9C09D"/>
    <w:rsid w:val="7406FDC2"/>
    <w:rsid w:val="74158588"/>
    <w:rsid w:val="7479ED35"/>
    <w:rsid w:val="74D2DC97"/>
    <w:rsid w:val="74D4E7E3"/>
    <w:rsid w:val="74D9929A"/>
    <w:rsid w:val="7503796D"/>
    <w:rsid w:val="755A3287"/>
    <w:rsid w:val="759213D9"/>
    <w:rsid w:val="75C452D9"/>
    <w:rsid w:val="75DECD2E"/>
    <w:rsid w:val="75F3539B"/>
    <w:rsid w:val="75F49B14"/>
    <w:rsid w:val="761A33B2"/>
    <w:rsid w:val="764300C9"/>
    <w:rsid w:val="76E6A070"/>
    <w:rsid w:val="77234046"/>
    <w:rsid w:val="77DC5648"/>
    <w:rsid w:val="781086A7"/>
    <w:rsid w:val="7849CD4B"/>
    <w:rsid w:val="795BF6F1"/>
    <w:rsid w:val="79853ECA"/>
    <w:rsid w:val="79C041FE"/>
    <w:rsid w:val="7A8184B4"/>
    <w:rsid w:val="7A8ACBFC"/>
    <w:rsid w:val="7AB609A0"/>
    <w:rsid w:val="7AE43C20"/>
    <w:rsid w:val="7B037226"/>
    <w:rsid w:val="7BDD0130"/>
    <w:rsid w:val="7CBC7DA0"/>
    <w:rsid w:val="7D96281E"/>
    <w:rsid w:val="7E39D22D"/>
    <w:rsid w:val="7E59830F"/>
    <w:rsid w:val="7E776833"/>
    <w:rsid w:val="7F11A8AA"/>
    <w:rsid w:val="7F4A5523"/>
    <w:rsid w:val="7FFC0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54E4"/>
  <w15:chartTrackingRefBased/>
  <w15:docId w15:val="{1731334D-3472-4CDA-886F-B93594BF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EA4"/>
    <w:rPr>
      <w:color w:val="0563C1" w:themeColor="hyperlink"/>
      <w:u w:val="single"/>
    </w:rPr>
  </w:style>
  <w:style w:type="paragraph" w:customStyle="1" w:styleId="Default">
    <w:name w:val="Default"/>
    <w:rsid w:val="00185E9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77CAC"/>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39"/>
    <w:rsid w:val="00A56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35"/>
    <w:rPr>
      <w:rFonts w:ascii="Segoe UI" w:hAnsi="Segoe UI" w:cs="Segoe UI"/>
      <w:sz w:val="18"/>
      <w:szCs w:val="18"/>
    </w:rPr>
  </w:style>
  <w:style w:type="character" w:styleId="CommentReference">
    <w:name w:val="annotation reference"/>
    <w:basedOn w:val="DefaultParagraphFont"/>
    <w:uiPriority w:val="99"/>
    <w:semiHidden/>
    <w:unhideWhenUsed/>
    <w:rsid w:val="0022009A"/>
    <w:rPr>
      <w:sz w:val="16"/>
      <w:szCs w:val="16"/>
    </w:rPr>
  </w:style>
  <w:style w:type="paragraph" w:styleId="CommentText">
    <w:name w:val="annotation text"/>
    <w:basedOn w:val="Normal"/>
    <w:link w:val="CommentTextChar"/>
    <w:uiPriority w:val="99"/>
    <w:semiHidden/>
    <w:unhideWhenUsed/>
    <w:rsid w:val="0022009A"/>
    <w:pPr>
      <w:spacing w:line="240" w:lineRule="auto"/>
    </w:pPr>
    <w:rPr>
      <w:sz w:val="20"/>
      <w:szCs w:val="20"/>
    </w:rPr>
  </w:style>
  <w:style w:type="character" w:customStyle="1" w:styleId="CommentTextChar">
    <w:name w:val="Comment Text Char"/>
    <w:basedOn w:val="DefaultParagraphFont"/>
    <w:link w:val="CommentText"/>
    <w:uiPriority w:val="99"/>
    <w:semiHidden/>
    <w:rsid w:val="0022009A"/>
    <w:rPr>
      <w:sz w:val="20"/>
      <w:szCs w:val="20"/>
    </w:rPr>
  </w:style>
  <w:style w:type="paragraph" w:styleId="CommentSubject">
    <w:name w:val="annotation subject"/>
    <w:basedOn w:val="CommentText"/>
    <w:next w:val="CommentText"/>
    <w:link w:val="CommentSubjectChar"/>
    <w:uiPriority w:val="99"/>
    <w:semiHidden/>
    <w:unhideWhenUsed/>
    <w:rsid w:val="0022009A"/>
    <w:rPr>
      <w:b/>
      <w:bCs/>
    </w:rPr>
  </w:style>
  <w:style w:type="character" w:customStyle="1" w:styleId="CommentSubjectChar">
    <w:name w:val="Comment Subject Char"/>
    <w:basedOn w:val="CommentTextChar"/>
    <w:link w:val="CommentSubject"/>
    <w:uiPriority w:val="99"/>
    <w:semiHidden/>
    <w:rsid w:val="0022009A"/>
    <w:rPr>
      <w:b/>
      <w:bCs/>
      <w:sz w:val="20"/>
      <w:szCs w:val="20"/>
    </w:rPr>
  </w:style>
  <w:style w:type="character" w:styleId="FollowedHyperlink">
    <w:name w:val="FollowedHyperlink"/>
    <w:basedOn w:val="DefaultParagraphFont"/>
    <w:uiPriority w:val="99"/>
    <w:semiHidden/>
    <w:unhideWhenUsed/>
    <w:rsid w:val="001A6086"/>
    <w:rPr>
      <w:color w:val="954F72" w:themeColor="followedHyperlink"/>
      <w:u w:val="single"/>
    </w:rPr>
  </w:style>
  <w:style w:type="character" w:customStyle="1" w:styleId="publicationcat">
    <w:name w:val="publicationcat"/>
    <w:basedOn w:val="DefaultParagraphFont"/>
    <w:rsid w:val="009F7ACB"/>
  </w:style>
  <w:style w:type="character" w:customStyle="1" w:styleId="metadata">
    <w:name w:val="metadata"/>
    <w:basedOn w:val="DefaultParagraphFont"/>
    <w:rsid w:val="009F7ACB"/>
  </w:style>
  <w:style w:type="character" w:customStyle="1" w:styleId="articlereference">
    <w:name w:val="articlereference"/>
    <w:basedOn w:val="DefaultParagraphFont"/>
    <w:rsid w:val="009F7ACB"/>
  </w:style>
  <w:style w:type="paragraph" w:styleId="Header">
    <w:name w:val="header"/>
    <w:basedOn w:val="Normal"/>
    <w:link w:val="HeaderChar"/>
    <w:uiPriority w:val="99"/>
    <w:unhideWhenUsed/>
    <w:rsid w:val="009A5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11"/>
  </w:style>
  <w:style w:type="paragraph" w:styleId="Footer">
    <w:name w:val="footer"/>
    <w:basedOn w:val="Normal"/>
    <w:link w:val="FooterChar"/>
    <w:uiPriority w:val="99"/>
    <w:unhideWhenUsed/>
    <w:rsid w:val="009A5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11"/>
  </w:style>
  <w:style w:type="paragraph" w:styleId="Revision">
    <w:name w:val="Revision"/>
    <w:hidden/>
    <w:uiPriority w:val="99"/>
    <w:semiHidden/>
    <w:rsid w:val="000D695C"/>
    <w:pPr>
      <w:spacing w:after="0" w:line="240" w:lineRule="auto"/>
    </w:pPr>
  </w:style>
  <w:style w:type="paragraph" w:customStyle="1" w:styleId="EndNoteBibliography">
    <w:name w:val="EndNote Bibliography"/>
    <w:basedOn w:val="Normal"/>
    <w:link w:val="EndNoteBibliographyChar"/>
    <w:rsid w:val="00FA4FC8"/>
    <w:pPr>
      <w:spacing w:after="240" w:line="240" w:lineRule="auto"/>
    </w:pPr>
    <w:rPr>
      <w:rFonts w:ascii="Times New Roman" w:eastAsia="Times New Roman"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FA4FC8"/>
    <w:rPr>
      <w:rFonts w:ascii="Times New Roman" w:eastAsia="Times New Roman" w:hAnsi="Times New Roman" w:cs="Times New Roman"/>
      <w:noProof/>
      <w:sz w:val="24"/>
      <w:szCs w:val="24"/>
      <w:lang w:val="en-US"/>
    </w:rPr>
  </w:style>
  <w:style w:type="character" w:styleId="LineNumber">
    <w:name w:val="line number"/>
    <w:basedOn w:val="DefaultParagraphFont"/>
    <w:uiPriority w:val="99"/>
    <w:semiHidden/>
    <w:unhideWhenUsed/>
    <w:rsid w:val="00630CE3"/>
  </w:style>
  <w:style w:type="table" w:customStyle="1" w:styleId="TableGrid1">
    <w:name w:val="Table Grid1"/>
    <w:basedOn w:val="TableNormal"/>
    <w:next w:val="TableGrid"/>
    <w:uiPriority w:val="39"/>
    <w:rsid w:val="005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3241">
      <w:bodyDiv w:val="1"/>
      <w:marLeft w:val="0"/>
      <w:marRight w:val="0"/>
      <w:marTop w:val="0"/>
      <w:marBottom w:val="0"/>
      <w:divBdr>
        <w:top w:val="none" w:sz="0" w:space="0" w:color="auto"/>
        <w:left w:val="none" w:sz="0" w:space="0" w:color="auto"/>
        <w:bottom w:val="none" w:sz="0" w:space="0" w:color="auto"/>
        <w:right w:val="none" w:sz="0" w:space="0" w:color="auto"/>
      </w:divBdr>
    </w:div>
    <w:div w:id="121001821">
      <w:bodyDiv w:val="1"/>
      <w:marLeft w:val="0"/>
      <w:marRight w:val="0"/>
      <w:marTop w:val="0"/>
      <w:marBottom w:val="0"/>
      <w:divBdr>
        <w:top w:val="none" w:sz="0" w:space="0" w:color="auto"/>
        <w:left w:val="none" w:sz="0" w:space="0" w:color="auto"/>
        <w:bottom w:val="none" w:sz="0" w:space="0" w:color="auto"/>
        <w:right w:val="none" w:sz="0" w:space="0" w:color="auto"/>
      </w:divBdr>
      <w:divsChild>
        <w:div w:id="1655333171">
          <w:marLeft w:val="0"/>
          <w:marRight w:val="0"/>
          <w:marTop w:val="0"/>
          <w:marBottom w:val="0"/>
          <w:divBdr>
            <w:top w:val="none" w:sz="0" w:space="0" w:color="auto"/>
            <w:left w:val="none" w:sz="0" w:space="0" w:color="auto"/>
            <w:bottom w:val="none" w:sz="0" w:space="0" w:color="auto"/>
            <w:right w:val="none" w:sz="0" w:space="0" w:color="auto"/>
          </w:divBdr>
        </w:div>
      </w:divsChild>
    </w:div>
    <w:div w:id="540676352">
      <w:bodyDiv w:val="1"/>
      <w:marLeft w:val="0"/>
      <w:marRight w:val="0"/>
      <w:marTop w:val="0"/>
      <w:marBottom w:val="0"/>
      <w:divBdr>
        <w:top w:val="none" w:sz="0" w:space="0" w:color="auto"/>
        <w:left w:val="none" w:sz="0" w:space="0" w:color="auto"/>
        <w:bottom w:val="none" w:sz="0" w:space="0" w:color="auto"/>
        <w:right w:val="none" w:sz="0" w:space="0" w:color="auto"/>
      </w:divBdr>
      <w:divsChild>
        <w:div w:id="1906455293">
          <w:marLeft w:val="0"/>
          <w:marRight w:val="0"/>
          <w:marTop w:val="0"/>
          <w:marBottom w:val="0"/>
          <w:divBdr>
            <w:top w:val="none" w:sz="0" w:space="0" w:color="auto"/>
            <w:left w:val="none" w:sz="0" w:space="0" w:color="auto"/>
            <w:bottom w:val="none" w:sz="0" w:space="0" w:color="auto"/>
            <w:right w:val="none" w:sz="0" w:space="0" w:color="auto"/>
          </w:divBdr>
        </w:div>
        <w:div w:id="519511078">
          <w:marLeft w:val="0"/>
          <w:marRight w:val="0"/>
          <w:marTop w:val="0"/>
          <w:marBottom w:val="0"/>
          <w:divBdr>
            <w:top w:val="none" w:sz="0" w:space="0" w:color="auto"/>
            <w:left w:val="none" w:sz="0" w:space="0" w:color="auto"/>
            <w:bottom w:val="none" w:sz="0" w:space="0" w:color="auto"/>
            <w:right w:val="none" w:sz="0" w:space="0" w:color="auto"/>
          </w:divBdr>
        </w:div>
        <w:div w:id="2035500477">
          <w:marLeft w:val="0"/>
          <w:marRight w:val="0"/>
          <w:marTop w:val="0"/>
          <w:marBottom w:val="0"/>
          <w:divBdr>
            <w:top w:val="none" w:sz="0" w:space="0" w:color="auto"/>
            <w:left w:val="none" w:sz="0" w:space="0" w:color="auto"/>
            <w:bottom w:val="none" w:sz="0" w:space="0" w:color="auto"/>
            <w:right w:val="none" w:sz="0" w:space="0" w:color="auto"/>
          </w:divBdr>
        </w:div>
        <w:div w:id="1878009556">
          <w:marLeft w:val="0"/>
          <w:marRight w:val="0"/>
          <w:marTop w:val="0"/>
          <w:marBottom w:val="0"/>
          <w:divBdr>
            <w:top w:val="none" w:sz="0" w:space="0" w:color="auto"/>
            <w:left w:val="none" w:sz="0" w:space="0" w:color="auto"/>
            <w:bottom w:val="none" w:sz="0" w:space="0" w:color="auto"/>
            <w:right w:val="none" w:sz="0" w:space="0" w:color="auto"/>
          </w:divBdr>
        </w:div>
        <w:div w:id="371393286">
          <w:marLeft w:val="0"/>
          <w:marRight w:val="0"/>
          <w:marTop w:val="0"/>
          <w:marBottom w:val="0"/>
          <w:divBdr>
            <w:top w:val="none" w:sz="0" w:space="0" w:color="auto"/>
            <w:left w:val="none" w:sz="0" w:space="0" w:color="auto"/>
            <w:bottom w:val="none" w:sz="0" w:space="0" w:color="auto"/>
            <w:right w:val="none" w:sz="0" w:space="0" w:color="auto"/>
          </w:divBdr>
        </w:div>
        <w:div w:id="158083933">
          <w:marLeft w:val="0"/>
          <w:marRight w:val="0"/>
          <w:marTop w:val="0"/>
          <w:marBottom w:val="0"/>
          <w:divBdr>
            <w:top w:val="none" w:sz="0" w:space="0" w:color="auto"/>
            <w:left w:val="none" w:sz="0" w:space="0" w:color="auto"/>
            <w:bottom w:val="none" w:sz="0" w:space="0" w:color="auto"/>
            <w:right w:val="none" w:sz="0" w:space="0" w:color="auto"/>
          </w:divBdr>
        </w:div>
        <w:div w:id="603995611">
          <w:marLeft w:val="0"/>
          <w:marRight w:val="0"/>
          <w:marTop w:val="0"/>
          <w:marBottom w:val="0"/>
          <w:divBdr>
            <w:top w:val="none" w:sz="0" w:space="0" w:color="auto"/>
            <w:left w:val="none" w:sz="0" w:space="0" w:color="auto"/>
            <w:bottom w:val="none" w:sz="0" w:space="0" w:color="auto"/>
            <w:right w:val="none" w:sz="0" w:space="0" w:color="auto"/>
          </w:divBdr>
        </w:div>
        <w:div w:id="265625919">
          <w:marLeft w:val="0"/>
          <w:marRight w:val="0"/>
          <w:marTop w:val="0"/>
          <w:marBottom w:val="0"/>
          <w:divBdr>
            <w:top w:val="none" w:sz="0" w:space="0" w:color="auto"/>
            <w:left w:val="none" w:sz="0" w:space="0" w:color="auto"/>
            <w:bottom w:val="none" w:sz="0" w:space="0" w:color="auto"/>
            <w:right w:val="none" w:sz="0" w:space="0" w:color="auto"/>
          </w:divBdr>
        </w:div>
        <w:div w:id="234363049">
          <w:marLeft w:val="0"/>
          <w:marRight w:val="0"/>
          <w:marTop w:val="0"/>
          <w:marBottom w:val="0"/>
          <w:divBdr>
            <w:top w:val="none" w:sz="0" w:space="0" w:color="auto"/>
            <w:left w:val="none" w:sz="0" w:space="0" w:color="auto"/>
            <w:bottom w:val="none" w:sz="0" w:space="0" w:color="auto"/>
            <w:right w:val="none" w:sz="0" w:space="0" w:color="auto"/>
          </w:divBdr>
        </w:div>
      </w:divsChild>
    </w:div>
    <w:div w:id="644235481">
      <w:bodyDiv w:val="1"/>
      <w:marLeft w:val="0"/>
      <w:marRight w:val="0"/>
      <w:marTop w:val="0"/>
      <w:marBottom w:val="0"/>
      <w:divBdr>
        <w:top w:val="none" w:sz="0" w:space="0" w:color="auto"/>
        <w:left w:val="none" w:sz="0" w:space="0" w:color="auto"/>
        <w:bottom w:val="none" w:sz="0" w:space="0" w:color="auto"/>
        <w:right w:val="none" w:sz="0" w:space="0" w:color="auto"/>
      </w:divBdr>
      <w:divsChild>
        <w:div w:id="1078673957">
          <w:marLeft w:val="0"/>
          <w:marRight w:val="0"/>
          <w:marTop w:val="0"/>
          <w:marBottom w:val="0"/>
          <w:divBdr>
            <w:top w:val="none" w:sz="0" w:space="0" w:color="auto"/>
            <w:left w:val="none" w:sz="0" w:space="0" w:color="auto"/>
            <w:bottom w:val="none" w:sz="0" w:space="0" w:color="auto"/>
            <w:right w:val="none" w:sz="0" w:space="0" w:color="auto"/>
          </w:divBdr>
        </w:div>
      </w:divsChild>
    </w:div>
    <w:div w:id="707489075">
      <w:bodyDiv w:val="1"/>
      <w:marLeft w:val="0"/>
      <w:marRight w:val="0"/>
      <w:marTop w:val="0"/>
      <w:marBottom w:val="0"/>
      <w:divBdr>
        <w:top w:val="none" w:sz="0" w:space="0" w:color="auto"/>
        <w:left w:val="none" w:sz="0" w:space="0" w:color="auto"/>
        <w:bottom w:val="none" w:sz="0" w:space="0" w:color="auto"/>
        <w:right w:val="none" w:sz="0" w:space="0" w:color="auto"/>
      </w:divBdr>
      <w:divsChild>
        <w:div w:id="504589986">
          <w:marLeft w:val="0"/>
          <w:marRight w:val="0"/>
          <w:marTop w:val="0"/>
          <w:marBottom w:val="0"/>
          <w:divBdr>
            <w:top w:val="none" w:sz="0" w:space="0" w:color="auto"/>
            <w:left w:val="none" w:sz="0" w:space="0" w:color="auto"/>
            <w:bottom w:val="none" w:sz="0" w:space="0" w:color="auto"/>
            <w:right w:val="none" w:sz="0" w:space="0" w:color="auto"/>
          </w:divBdr>
        </w:div>
        <w:div w:id="1780490795">
          <w:marLeft w:val="0"/>
          <w:marRight w:val="0"/>
          <w:marTop w:val="0"/>
          <w:marBottom w:val="0"/>
          <w:divBdr>
            <w:top w:val="none" w:sz="0" w:space="0" w:color="auto"/>
            <w:left w:val="none" w:sz="0" w:space="0" w:color="auto"/>
            <w:bottom w:val="none" w:sz="0" w:space="0" w:color="auto"/>
            <w:right w:val="none" w:sz="0" w:space="0" w:color="auto"/>
          </w:divBdr>
        </w:div>
        <w:div w:id="1406145650">
          <w:marLeft w:val="0"/>
          <w:marRight w:val="0"/>
          <w:marTop w:val="0"/>
          <w:marBottom w:val="0"/>
          <w:divBdr>
            <w:top w:val="none" w:sz="0" w:space="0" w:color="auto"/>
            <w:left w:val="none" w:sz="0" w:space="0" w:color="auto"/>
            <w:bottom w:val="none" w:sz="0" w:space="0" w:color="auto"/>
            <w:right w:val="none" w:sz="0" w:space="0" w:color="auto"/>
          </w:divBdr>
        </w:div>
        <w:div w:id="1533150384">
          <w:marLeft w:val="0"/>
          <w:marRight w:val="0"/>
          <w:marTop w:val="0"/>
          <w:marBottom w:val="0"/>
          <w:divBdr>
            <w:top w:val="none" w:sz="0" w:space="0" w:color="auto"/>
            <w:left w:val="none" w:sz="0" w:space="0" w:color="auto"/>
            <w:bottom w:val="none" w:sz="0" w:space="0" w:color="auto"/>
            <w:right w:val="none" w:sz="0" w:space="0" w:color="auto"/>
          </w:divBdr>
        </w:div>
        <w:div w:id="1487210883">
          <w:marLeft w:val="0"/>
          <w:marRight w:val="0"/>
          <w:marTop w:val="0"/>
          <w:marBottom w:val="0"/>
          <w:divBdr>
            <w:top w:val="none" w:sz="0" w:space="0" w:color="auto"/>
            <w:left w:val="none" w:sz="0" w:space="0" w:color="auto"/>
            <w:bottom w:val="none" w:sz="0" w:space="0" w:color="auto"/>
            <w:right w:val="none" w:sz="0" w:space="0" w:color="auto"/>
          </w:divBdr>
        </w:div>
        <w:div w:id="1826318826">
          <w:marLeft w:val="0"/>
          <w:marRight w:val="0"/>
          <w:marTop w:val="0"/>
          <w:marBottom w:val="0"/>
          <w:divBdr>
            <w:top w:val="none" w:sz="0" w:space="0" w:color="auto"/>
            <w:left w:val="none" w:sz="0" w:space="0" w:color="auto"/>
            <w:bottom w:val="none" w:sz="0" w:space="0" w:color="auto"/>
            <w:right w:val="none" w:sz="0" w:space="0" w:color="auto"/>
          </w:divBdr>
        </w:div>
        <w:div w:id="1566337949">
          <w:marLeft w:val="0"/>
          <w:marRight w:val="0"/>
          <w:marTop w:val="0"/>
          <w:marBottom w:val="0"/>
          <w:divBdr>
            <w:top w:val="none" w:sz="0" w:space="0" w:color="auto"/>
            <w:left w:val="none" w:sz="0" w:space="0" w:color="auto"/>
            <w:bottom w:val="none" w:sz="0" w:space="0" w:color="auto"/>
            <w:right w:val="none" w:sz="0" w:space="0" w:color="auto"/>
          </w:divBdr>
        </w:div>
        <w:div w:id="2106341624">
          <w:marLeft w:val="0"/>
          <w:marRight w:val="0"/>
          <w:marTop w:val="0"/>
          <w:marBottom w:val="0"/>
          <w:divBdr>
            <w:top w:val="none" w:sz="0" w:space="0" w:color="auto"/>
            <w:left w:val="none" w:sz="0" w:space="0" w:color="auto"/>
            <w:bottom w:val="none" w:sz="0" w:space="0" w:color="auto"/>
            <w:right w:val="none" w:sz="0" w:space="0" w:color="auto"/>
          </w:divBdr>
        </w:div>
        <w:div w:id="329875083">
          <w:marLeft w:val="0"/>
          <w:marRight w:val="0"/>
          <w:marTop w:val="0"/>
          <w:marBottom w:val="0"/>
          <w:divBdr>
            <w:top w:val="none" w:sz="0" w:space="0" w:color="auto"/>
            <w:left w:val="none" w:sz="0" w:space="0" w:color="auto"/>
            <w:bottom w:val="none" w:sz="0" w:space="0" w:color="auto"/>
            <w:right w:val="none" w:sz="0" w:space="0" w:color="auto"/>
          </w:divBdr>
        </w:div>
        <w:div w:id="1207526656">
          <w:marLeft w:val="0"/>
          <w:marRight w:val="0"/>
          <w:marTop w:val="0"/>
          <w:marBottom w:val="0"/>
          <w:divBdr>
            <w:top w:val="none" w:sz="0" w:space="0" w:color="auto"/>
            <w:left w:val="none" w:sz="0" w:space="0" w:color="auto"/>
            <w:bottom w:val="none" w:sz="0" w:space="0" w:color="auto"/>
            <w:right w:val="none" w:sz="0" w:space="0" w:color="auto"/>
          </w:divBdr>
        </w:div>
        <w:div w:id="1759449588">
          <w:marLeft w:val="0"/>
          <w:marRight w:val="0"/>
          <w:marTop w:val="0"/>
          <w:marBottom w:val="0"/>
          <w:divBdr>
            <w:top w:val="none" w:sz="0" w:space="0" w:color="auto"/>
            <w:left w:val="none" w:sz="0" w:space="0" w:color="auto"/>
            <w:bottom w:val="none" w:sz="0" w:space="0" w:color="auto"/>
            <w:right w:val="none" w:sz="0" w:space="0" w:color="auto"/>
          </w:divBdr>
        </w:div>
        <w:div w:id="1513714777">
          <w:marLeft w:val="0"/>
          <w:marRight w:val="0"/>
          <w:marTop w:val="0"/>
          <w:marBottom w:val="0"/>
          <w:divBdr>
            <w:top w:val="none" w:sz="0" w:space="0" w:color="auto"/>
            <w:left w:val="none" w:sz="0" w:space="0" w:color="auto"/>
            <w:bottom w:val="none" w:sz="0" w:space="0" w:color="auto"/>
            <w:right w:val="none" w:sz="0" w:space="0" w:color="auto"/>
          </w:divBdr>
        </w:div>
        <w:div w:id="591284690">
          <w:marLeft w:val="0"/>
          <w:marRight w:val="0"/>
          <w:marTop w:val="0"/>
          <w:marBottom w:val="0"/>
          <w:divBdr>
            <w:top w:val="none" w:sz="0" w:space="0" w:color="auto"/>
            <w:left w:val="none" w:sz="0" w:space="0" w:color="auto"/>
            <w:bottom w:val="none" w:sz="0" w:space="0" w:color="auto"/>
            <w:right w:val="none" w:sz="0" w:space="0" w:color="auto"/>
          </w:divBdr>
        </w:div>
        <w:div w:id="486093411">
          <w:marLeft w:val="0"/>
          <w:marRight w:val="0"/>
          <w:marTop w:val="0"/>
          <w:marBottom w:val="0"/>
          <w:divBdr>
            <w:top w:val="none" w:sz="0" w:space="0" w:color="auto"/>
            <w:left w:val="none" w:sz="0" w:space="0" w:color="auto"/>
            <w:bottom w:val="none" w:sz="0" w:space="0" w:color="auto"/>
            <w:right w:val="none" w:sz="0" w:space="0" w:color="auto"/>
          </w:divBdr>
        </w:div>
        <w:div w:id="130288437">
          <w:marLeft w:val="0"/>
          <w:marRight w:val="0"/>
          <w:marTop w:val="0"/>
          <w:marBottom w:val="0"/>
          <w:divBdr>
            <w:top w:val="none" w:sz="0" w:space="0" w:color="auto"/>
            <w:left w:val="none" w:sz="0" w:space="0" w:color="auto"/>
            <w:bottom w:val="none" w:sz="0" w:space="0" w:color="auto"/>
            <w:right w:val="none" w:sz="0" w:space="0" w:color="auto"/>
          </w:divBdr>
        </w:div>
        <w:div w:id="141387042">
          <w:marLeft w:val="0"/>
          <w:marRight w:val="0"/>
          <w:marTop w:val="0"/>
          <w:marBottom w:val="0"/>
          <w:divBdr>
            <w:top w:val="none" w:sz="0" w:space="0" w:color="auto"/>
            <w:left w:val="none" w:sz="0" w:space="0" w:color="auto"/>
            <w:bottom w:val="none" w:sz="0" w:space="0" w:color="auto"/>
            <w:right w:val="none" w:sz="0" w:space="0" w:color="auto"/>
          </w:divBdr>
        </w:div>
        <w:div w:id="9768552">
          <w:marLeft w:val="0"/>
          <w:marRight w:val="0"/>
          <w:marTop w:val="0"/>
          <w:marBottom w:val="0"/>
          <w:divBdr>
            <w:top w:val="none" w:sz="0" w:space="0" w:color="auto"/>
            <w:left w:val="none" w:sz="0" w:space="0" w:color="auto"/>
            <w:bottom w:val="none" w:sz="0" w:space="0" w:color="auto"/>
            <w:right w:val="none" w:sz="0" w:space="0" w:color="auto"/>
          </w:divBdr>
        </w:div>
      </w:divsChild>
    </w:div>
    <w:div w:id="716320895">
      <w:bodyDiv w:val="1"/>
      <w:marLeft w:val="0"/>
      <w:marRight w:val="0"/>
      <w:marTop w:val="0"/>
      <w:marBottom w:val="0"/>
      <w:divBdr>
        <w:top w:val="none" w:sz="0" w:space="0" w:color="auto"/>
        <w:left w:val="none" w:sz="0" w:space="0" w:color="auto"/>
        <w:bottom w:val="none" w:sz="0" w:space="0" w:color="auto"/>
        <w:right w:val="none" w:sz="0" w:space="0" w:color="auto"/>
      </w:divBdr>
    </w:div>
    <w:div w:id="810631066">
      <w:bodyDiv w:val="1"/>
      <w:marLeft w:val="0"/>
      <w:marRight w:val="0"/>
      <w:marTop w:val="0"/>
      <w:marBottom w:val="0"/>
      <w:divBdr>
        <w:top w:val="none" w:sz="0" w:space="0" w:color="auto"/>
        <w:left w:val="none" w:sz="0" w:space="0" w:color="auto"/>
        <w:bottom w:val="none" w:sz="0" w:space="0" w:color="auto"/>
        <w:right w:val="none" w:sz="0" w:space="0" w:color="auto"/>
      </w:divBdr>
      <w:divsChild>
        <w:div w:id="839470605">
          <w:marLeft w:val="547"/>
          <w:marRight w:val="0"/>
          <w:marTop w:val="86"/>
          <w:marBottom w:val="0"/>
          <w:divBdr>
            <w:top w:val="none" w:sz="0" w:space="0" w:color="auto"/>
            <w:left w:val="none" w:sz="0" w:space="0" w:color="auto"/>
            <w:bottom w:val="none" w:sz="0" w:space="0" w:color="auto"/>
            <w:right w:val="none" w:sz="0" w:space="0" w:color="auto"/>
          </w:divBdr>
        </w:div>
        <w:div w:id="448014728">
          <w:marLeft w:val="547"/>
          <w:marRight w:val="0"/>
          <w:marTop w:val="86"/>
          <w:marBottom w:val="0"/>
          <w:divBdr>
            <w:top w:val="none" w:sz="0" w:space="0" w:color="auto"/>
            <w:left w:val="none" w:sz="0" w:space="0" w:color="auto"/>
            <w:bottom w:val="none" w:sz="0" w:space="0" w:color="auto"/>
            <w:right w:val="none" w:sz="0" w:space="0" w:color="auto"/>
          </w:divBdr>
        </w:div>
        <w:div w:id="367999233">
          <w:marLeft w:val="1166"/>
          <w:marRight w:val="0"/>
          <w:marTop w:val="86"/>
          <w:marBottom w:val="0"/>
          <w:divBdr>
            <w:top w:val="none" w:sz="0" w:space="0" w:color="auto"/>
            <w:left w:val="none" w:sz="0" w:space="0" w:color="auto"/>
            <w:bottom w:val="none" w:sz="0" w:space="0" w:color="auto"/>
            <w:right w:val="none" w:sz="0" w:space="0" w:color="auto"/>
          </w:divBdr>
        </w:div>
        <w:div w:id="610820096">
          <w:marLeft w:val="547"/>
          <w:marRight w:val="0"/>
          <w:marTop w:val="86"/>
          <w:marBottom w:val="0"/>
          <w:divBdr>
            <w:top w:val="none" w:sz="0" w:space="0" w:color="auto"/>
            <w:left w:val="none" w:sz="0" w:space="0" w:color="auto"/>
            <w:bottom w:val="none" w:sz="0" w:space="0" w:color="auto"/>
            <w:right w:val="none" w:sz="0" w:space="0" w:color="auto"/>
          </w:divBdr>
        </w:div>
        <w:div w:id="109596631">
          <w:marLeft w:val="1166"/>
          <w:marRight w:val="0"/>
          <w:marTop w:val="86"/>
          <w:marBottom w:val="0"/>
          <w:divBdr>
            <w:top w:val="none" w:sz="0" w:space="0" w:color="auto"/>
            <w:left w:val="none" w:sz="0" w:space="0" w:color="auto"/>
            <w:bottom w:val="none" w:sz="0" w:space="0" w:color="auto"/>
            <w:right w:val="none" w:sz="0" w:space="0" w:color="auto"/>
          </w:divBdr>
        </w:div>
        <w:div w:id="1579362036">
          <w:marLeft w:val="1800"/>
          <w:marRight w:val="0"/>
          <w:marTop w:val="86"/>
          <w:marBottom w:val="0"/>
          <w:divBdr>
            <w:top w:val="none" w:sz="0" w:space="0" w:color="auto"/>
            <w:left w:val="none" w:sz="0" w:space="0" w:color="auto"/>
            <w:bottom w:val="none" w:sz="0" w:space="0" w:color="auto"/>
            <w:right w:val="none" w:sz="0" w:space="0" w:color="auto"/>
          </w:divBdr>
        </w:div>
        <w:div w:id="1158880460">
          <w:marLeft w:val="1800"/>
          <w:marRight w:val="0"/>
          <w:marTop w:val="86"/>
          <w:marBottom w:val="0"/>
          <w:divBdr>
            <w:top w:val="none" w:sz="0" w:space="0" w:color="auto"/>
            <w:left w:val="none" w:sz="0" w:space="0" w:color="auto"/>
            <w:bottom w:val="none" w:sz="0" w:space="0" w:color="auto"/>
            <w:right w:val="none" w:sz="0" w:space="0" w:color="auto"/>
          </w:divBdr>
        </w:div>
        <w:div w:id="136186477">
          <w:marLeft w:val="547"/>
          <w:marRight w:val="0"/>
          <w:marTop w:val="86"/>
          <w:marBottom w:val="0"/>
          <w:divBdr>
            <w:top w:val="none" w:sz="0" w:space="0" w:color="auto"/>
            <w:left w:val="none" w:sz="0" w:space="0" w:color="auto"/>
            <w:bottom w:val="none" w:sz="0" w:space="0" w:color="auto"/>
            <w:right w:val="none" w:sz="0" w:space="0" w:color="auto"/>
          </w:divBdr>
        </w:div>
        <w:div w:id="227153039">
          <w:marLeft w:val="547"/>
          <w:marRight w:val="0"/>
          <w:marTop w:val="86"/>
          <w:marBottom w:val="0"/>
          <w:divBdr>
            <w:top w:val="none" w:sz="0" w:space="0" w:color="auto"/>
            <w:left w:val="none" w:sz="0" w:space="0" w:color="auto"/>
            <w:bottom w:val="none" w:sz="0" w:space="0" w:color="auto"/>
            <w:right w:val="none" w:sz="0" w:space="0" w:color="auto"/>
          </w:divBdr>
        </w:div>
      </w:divsChild>
    </w:div>
    <w:div w:id="851912759">
      <w:bodyDiv w:val="1"/>
      <w:marLeft w:val="0"/>
      <w:marRight w:val="0"/>
      <w:marTop w:val="0"/>
      <w:marBottom w:val="0"/>
      <w:divBdr>
        <w:top w:val="none" w:sz="0" w:space="0" w:color="auto"/>
        <w:left w:val="none" w:sz="0" w:space="0" w:color="auto"/>
        <w:bottom w:val="none" w:sz="0" w:space="0" w:color="auto"/>
        <w:right w:val="none" w:sz="0" w:space="0" w:color="auto"/>
      </w:divBdr>
      <w:divsChild>
        <w:div w:id="482553436">
          <w:marLeft w:val="0"/>
          <w:marRight w:val="0"/>
          <w:marTop w:val="0"/>
          <w:marBottom w:val="0"/>
          <w:divBdr>
            <w:top w:val="none" w:sz="0" w:space="0" w:color="auto"/>
            <w:left w:val="none" w:sz="0" w:space="0" w:color="auto"/>
            <w:bottom w:val="none" w:sz="0" w:space="0" w:color="auto"/>
            <w:right w:val="none" w:sz="0" w:space="0" w:color="auto"/>
          </w:divBdr>
        </w:div>
        <w:div w:id="524907326">
          <w:marLeft w:val="0"/>
          <w:marRight w:val="0"/>
          <w:marTop w:val="0"/>
          <w:marBottom w:val="0"/>
          <w:divBdr>
            <w:top w:val="none" w:sz="0" w:space="0" w:color="auto"/>
            <w:left w:val="none" w:sz="0" w:space="0" w:color="auto"/>
            <w:bottom w:val="none" w:sz="0" w:space="0" w:color="auto"/>
            <w:right w:val="none" w:sz="0" w:space="0" w:color="auto"/>
          </w:divBdr>
        </w:div>
      </w:divsChild>
    </w:div>
    <w:div w:id="1096366904">
      <w:bodyDiv w:val="1"/>
      <w:marLeft w:val="0"/>
      <w:marRight w:val="0"/>
      <w:marTop w:val="0"/>
      <w:marBottom w:val="0"/>
      <w:divBdr>
        <w:top w:val="none" w:sz="0" w:space="0" w:color="auto"/>
        <w:left w:val="none" w:sz="0" w:space="0" w:color="auto"/>
        <w:bottom w:val="none" w:sz="0" w:space="0" w:color="auto"/>
        <w:right w:val="none" w:sz="0" w:space="0" w:color="auto"/>
      </w:divBdr>
      <w:divsChild>
        <w:div w:id="210458869">
          <w:marLeft w:val="0"/>
          <w:marRight w:val="0"/>
          <w:marTop w:val="0"/>
          <w:marBottom w:val="0"/>
          <w:divBdr>
            <w:top w:val="none" w:sz="0" w:space="0" w:color="auto"/>
            <w:left w:val="none" w:sz="0" w:space="0" w:color="auto"/>
            <w:bottom w:val="none" w:sz="0" w:space="0" w:color="auto"/>
            <w:right w:val="none" w:sz="0" w:space="0" w:color="auto"/>
          </w:divBdr>
        </w:div>
        <w:div w:id="1184318430">
          <w:marLeft w:val="0"/>
          <w:marRight w:val="0"/>
          <w:marTop w:val="0"/>
          <w:marBottom w:val="0"/>
          <w:divBdr>
            <w:top w:val="none" w:sz="0" w:space="0" w:color="auto"/>
            <w:left w:val="none" w:sz="0" w:space="0" w:color="auto"/>
            <w:bottom w:val="none" w:sz="0" w:space="0" w:color="auto"/>
            <w:right w:val="none" w:sz="0" w:space="0" w:color="auto"/>
          </w:divBdr>
        </w:div>
      </w:divsChild>
    </w:div>
    <w:div w:id="1280455674">
      <w:bodyDiv w:val="1"/>
      <w:marLeft w:val="0"/>
      <w:marRight w:val="0"/>
      <w:marTop w:val="0"/>
      <w:marBottom w:val="0"/>
      <w:divBdr>
        <w:top w:val="none" w:sz="0" w:space="0" w:color="auto"/>
        <w:left w:val="none" w:sz="0" w:space="0" w:color="auto"/>
        <w:bottom w:val="none" w:sz="0" w:space="0" w:color="auto"/>
        <w:right w:val="none" w:sz="0" w:space="0" w:color="auto"/>
      </w:divBdr>
    </w:div>
    <w:div w:id="1321346255">
      <w:bodyDiv w:val="1"/>
      <w:marLeft w:val="0"/>
      <w:marRight w:val="0"/>
      <w:marTop w:val="0"/>
      <w:marBottom w:val="0"/>
      <w:divBdr>
        <w:top w:val="none" w:sz="0" w:space="0" w:color="auto"/>
        <w:left w:val="none" w:sz="0" w:space="0" w:color="auto"/>
        <w:bottom w:val="none" w:sz="0" w:space="0" w:color="auto"/>
        <w:right w:val="none" w:sz="0" w:space="0" w:color="auto"/>
      </w:divBdr>
      <w:divsChild>
        <w:div w:id="1527712037">
          <w:marLeft w:val="0"/>
          <w:marRight w:val="0"/>
          <w:marTop w:val="0"/>
          <w:marBottom w:val="0"/>
          <w:divBdr>
            <w:top w:val="none" w:sz="0" w:space="0" w:color="auto"/>
            <w:left w:val="none" w:sz="0" w:space="0" w:color="auto"/>
            <w:bottom w:val="none" w:sz="0" w:space="0" w:color="auto"/>
            <w:right w:val="none" w:sz="0" w:space="0" w:color="auto"/>
          </w:divBdr>
          <w:divsChild>
            <w:div w:id="1173686318">
              <w:marLeft w:val="0"/>
              <w:marRight w:val="0"/>
              <w:marTop w:val="0"/>
              <w:marBottom w:val="0"/>
              <w:divBdr>
                <w:top w:val="none" w:sz="0" w:space="0" w:color="auto"/>
                <w:left w:val="none" w:sz="0" w:space="0" w:color="auto"/>
                <w:bottom w:val="none" w:sz="0" w:space="0" w:color="auto"/>
                <w:right w:val="none" w:sz="0" w:space="0" w:color="auto"/>
              </w:divBdr>
              <w:divsChild>
                <w:div w:id="80807854">
                  <w:marLeft w:val="0"/>
                  <w:marRight w:val="0"/>
                  <w:marTop w:val="0"/>
                  <w:marBottom w:val="0"/>
                  <w:divBdr>
                    <w:top w:val="none" w:sz="0" w:space="0" w:color="auto"/>
                    <w:left w:val="none" w:sz="0" w:space="0" w:color="auto"/>
                    <w:bottom w:val="none" w:sz="0" w:space="0" w:color="auto"/>
                    <w:right w:val="none" w:sz="0" w:space="0" w:color="auto"/>
                  </w:divBdr>
                </w:div>
                <w:div w:id="5263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69231">
      <w:bodyDiv w:val="1"/>
      <w:marLeft w:val="0"/>
      <w:marRight w:val="0"/>
      <w:marTop w:val="0"/>
      <w:marBottom w:val="0"/>
      <w:divBdr>
        <w:top w:val="none" w:sz="0" w:space="0" w:color="auto"/>
        <w:left w:val="none" w:sz="0" w:space="0" w:color="auto"/>
        <w:bottom w:val="none" w:sz="0" w:space="0" w:color="auto"/>
        <w:right w:val="none" w:sz="0" w:space="0" w:color="auto"/>
      </w:divBdr>
      <w:divsChild>
        <w:div w:id="73822214">
          <w:marLeft w:val="0"/>
          <w:marRight w:val="0"/>
          <w:marTop w:val="0"/>
          <w:marBottom w:val="0"/>
          <w:divBdr>
            <w:top w:val="none" w:sz="0" w:space="0" w:color="auto"/>
            <w:left w:val="none" w:sz="0" w:space="0" w:color="auto"/>
            <w:bottom w:val="none" w:sz="0" w:space="0" w:color="auto"/>
            <w:right w:val="none" w:sz="0" w:space="0" w:color="auto"/>
          </w:divBdr>
        </w:div>
        <w:div w:id="828516701">
          <w:marLeft w:val="0"/>
          <w:marRight w:val="0"/>
          <w:marTop w:val="0"/>
          <w:marBottom w:val="0"/>
          <w:divBdr>
            <w:top w:val="none" w:sz="0" w:space="0" w:color="auto"/>
            <w:left w:val="none" w:sz="0" w:space="0" w:color="auto"/>
            <w:bottom w:val="none" w:sz="0" w:space="0" w:color="auto"/>
            <w:right w:val="none" w:sz="0" w:space="0" w:color="auto"/>
          </w:divBdr>
        </w:div>
        <w:div w:id="1717001702">
          <w:marLeft w:val="0"/>
          <w:marRight w:val="0"/>
          <w:marTop w:val="0"/>
          <w:marBottom w:val="0"/>
          <w:divBdr>
            <w:top w:val="none" w:sz="0" w:space="0" w:color="auto"/>
            <w:left w:val="none" w:sz="0" w:space="0" w:color="auto"/>
            <w:bottom w:val="none" w:sz="0" w:space="0" w:color="auto"/>
            <w:right w:val="none" w:sz="0" w:space="0" w:color="auto"/>
          </w:divBdr>
        </w:div>
        <w:div w:id="1496265442">
          <w:marLeft w:val="0"/>
          <w:marRight w:val="0"/>
          <w:marTop w:val="0"/>
          <w:marBottom w:val="0"/>
          <w:divBdr>
            <w:top w:val="none" w:sz="0" w:space="0" w:color="auto"/>
            <w:left w:val="none" w:sz="0" w:space="0" w:color="auto"/>
            <w:bottom w:val="none" w:sz="0" w:space="0" w:color="auto"/>
            <w:right w:val="none" w:sz="0" w:space="0" w:color="auto"/>
          </w:divBdr>
        </w:div>
        <w:div w:id="812671843">
          <w:marLeft w:val="0"/>
          <w:marRight w:val="0"/>
          <w:marTop w:val="0"/>
          <w:marBottom w:val="0"/>
          <w:divBdr>
            <w:top w:val="none" w:sz="0" w:space="0" w:color="auto"/>
            <w:left w:val="none" w:sz="0" w:space="0" w:color="auto"/>
            <w:bottom w:val="none" w:sz="0" w:space="0" w:color="auto"/>
            <w:right w:val="none" w:sz="0" w:space="0" w:color="auto"/>
          </w:divBdr>
        </w:div>
        <w:div w:id="31224909">
          <w:marLeft w:val="0"/>
          <w:marRight w:val="0"/>
          <w:marTop w:val="0"/>
          <w:marBottom w:val="0"/>
          <w:divBdr>
            <w:top w:val="none" w:sz="0" w:space="0" w:color="auto"/>
            <w:left w:val="none" w:sz="0" w:space="0" w:color="auto"/>
            <w:bottom w:val="none" w:sz="0" w:space="0" w:color="auto"/>
            <w:right w:val="none" w:sz="0" w:space="0" w:color="auto"/>
          </w:divBdr>
        </w:div>
        <w:div w:id="1777289631">
          <w:marLeft w:val="0"/>
          <w:marRight w:val="0"/>
          <w:marTop w:val="0"/>
          <w:marBottom w:val="0"/>
          <w:divBdr>
            <w:top w:val="none" w:sz="0" w:space="0" w:color="auto"/>
            <w:left w:val="none" w:sz="0" w:space="0" w:color="auto"/>
            <w:bottom w:val="none" w:sz="0" w:space="0" w:color="auto"/>
            <w:right w:val="none" w:sz="0" w:space="0" w:color="auto"/>
          </w:divBdr>
        </w:div>
        <w:div w:id="1952274245">
          <w:marLeft w:val="0"/>
          <w:marRight w:val="0"/>
          <w:marTop w:val="0"/>
          <w:marBottom w:val="0"/>
          <w:divBdr>
            <w:top w:val="none" w:sz="0" w:space="0" w:color="auto"/>
            <w:left w:val="none" w:sz="0" w:space="0" w:color="auto"/>
            <w:bottom w:val="none" w:sz="0" w:space="0" w:color="auto"/>
            <w:right w:val="none" w:sz="0" w:space="0" w:color="auto"/>
          </w:divBdr>
        </w:div>
        <w:div w:id="254438461">
          <w:marLeft w:val="0"/>
          <w:marRight w:val="0"/>
          <w:marTop w:val="0"/>
          <w:marBottom w:val="0"/>
          <w:divBdr>
            <w:top w:val="none" w:sz="0" w:space="0" w:color="auto"/>
            <w:left w:val="none" w:sz="0" w:space="0" w:color="auto"/>
            <w:bottom w:val="none" w:sz="0" w:space="0" w:color="auto"/>
            <w:right w:val="none" w:sz="0" w:space="0" w:color="auto"/>
          </w:divBdr>
        </w:div>
        <w:div w:id="29911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au/health-workforce/health-workforce-classifications/australian-statistical-geography-standard-remoteness-area" TargetMode="External"/><Relationship Id="rId18" Type="http://schemas.openxmlformats.org/officeDocument/2006/relationships/hyperlink" Target="https://www.pharmaceutical-journal.com/your-rps/the-changing-role-of-the-pharmacist-in-the-21st-century/20204131.article" TargetMode="External"/><Relationship Id="rId26" Type="http://schemas.openxmlformats.org/officeDocument/2006/relationships/hyperlink" Target="https://www.health.gov.au/health-workforce/health-workforce-classifications/modified-monash-model" TargetMode="External"/><Relationship Id="rId39" Type="http://schemas.openxmlformats.org/officeDocument/2006/relationships/footer" Target="footer1.xml"/><Relationship Id="rId21" Type="http://schemas.openxmlformats.org/officeDocument/2006/relationships/hyperlink" Target="https://www.pharmacyboard.gov.au/Registration-Standards.aspx" TargetMode="External"/><Relationship Id="rId34" Type="http://schemas.openxmlformats.org/officeDocument/2006/relationships/hyperlink" Target="https://grattan.edu.au/report/access-all-areas-new-solutions-for-gp-shortages-in-rural-australia/"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6cpa.com.au/wp-content/uploads/Pharmacy-Workforce-Planning-Literature-Review.pdf" TargetMode="External"/><Relationship Id="rId20" Type="http://schemas.openxmlformats.org/officeDocument/2006/relationships/hyperlink" Target="https://www.gooduniversitiesguide.com.au/the-good-universities-eguide" TargetMode="External"/><Relationship Id="rId29" Type="http://schemas.openxmlformats.org/officeDocument/2006/relationships/hyperlink" Target="https://www.jstor.org/stable/pdf/29772468.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ihw.gov.au/reports/workforce/allied-health-workforce-2012/contents/table-of-contents" TargetMode="External"/><Relationship Id="rId24" Type="http://schemas.openxmlformats.org/officeDocument/2006/relationships/hyperlink" Target="https://www1.health.gov.au/internet/main/publishing.nsf/Content/health_workforce_data" TargetMode="External"/><Relationship Id="rId32" Type="http://schemas.openxmlformats.org/officeDocument/2006/relationships/hyperlink" Target="https://doi.org/10.1111/ijpp.12648"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uman-resources-health.com/content/7/1/48" TargetMode="External"/><Relationship Id="rId23" Type="http://schemas.openxmlformats.org/officeDocument/2006/relationships/hyperlink" Target="https://www1.health.gov.au/internet/main/publishing.nsf/Content/rural-health-multidisciplinary-training" TargetMode="External"/><Relationship Id="rId28" Type="http://schemas.openxmlformats.org/officeDocument/2006/relationships/hyperlink" Target="http://docplayer.net/15545759-Australia-s-health-workforce-series-pharmacists-in-focus-march-2014-hwa-australia-s-health-workforce-series-pharmacists-in-focus.html" TargetMode="External"/><Relationship Id="rId36" Type="http://schemas.openxmlformats.org/officeDocument/2006/relationships/hyperlink" Target="https://www.aihw.gov.au/reports/rural-remote-australians/rural-remote-health/contents/summary" TargetMode="External"/><Relationship Id="rId10" Type="http://schemas.openxmlformats.org/officeDocument/2006/relationships/hyperlink" Target="mailto:tony.smith@newcastle.edu.au" TargetMode="External"/><Relationship Id="rId19" Type="http://schemas.openxmlformats.org/officeDocument/2006/relationships/hyperlink" Target="http://www.biomedcentral.com/1472-6963/12/175" TargetMode="External"/><Relationship Id="rId31" Type="http://schemas.openxmlformats.org/officeDocument/2006/relationships/hyperlink" Target="http://onlinelibrary.wiley.com/doi/10.1111/ajr.12375/fu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onstaff-my.sharepoint.com/personal/cf529_newcastle_edu_au/Documents/Needs%20Assessment/10.31128/AJGP-02-18-4488" TargetMode="External"/><Relationship Id="rId22" Type="http://schemas.openxmlformats.org/officeDocument/2006/relationships/hyperlink" Target="https://www.ppaonline.com.au/programs/rural-support-programs/rural-pharmacy-liaison-officer-program" TargetMode="External"/><Relationship Id="rId27" Type="http://schemas.openxmlformats.org/officeDocument/2006/relationships/hyperlink" Target="http://www.rrh.org.au" TargetMode="External"/><Relationship Id="rId30" Type="http://schemas.openxmlformats.org/officeDocument/2006/relationships/hyperlink" Target="https://doi.org/10.22605/RRH5466" TargetMode="External"/><Relationship Id="rId35" Type="http://schemas.openxmlformats.org/officeDocument/2006/relationships/hyperlink" Target="https://doi.org/10.1186/s12912-019-0337-z"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ahpra.gov.au/Publications/Annual-reports/Annual-Report-2019.aspx" TargetMode="External"/><Relationship Id="rId17" Type="http://schemas.openxmlformats.org/officeDocument/2006/relationships/hyperlink" Target="https://dx.doi.org/10.4212%2Fcjhp.v68i5.1492" TargetMode="External"/><Relationship Id="rId25" Type="http://schemas.openxmlformats.org/officeDocument/2006/relationships/hyperlink" Target="https://ajp.com.au/news/unfair-pharia-system-set-to-be-scrapped/" TargetMode="External"/><Relationship Id="rId33" Type="http://schemas.openxmlformats.org/officeDocument/2006/relationships/hyperlink" Target="https://doi.org/10.3390/pharmacy8030161" TargetMode="External"/><Relationship Id="rId3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B1AECC73C6D34AA5F5CCA114083AF0" ma:contentTypeVersion="13" ma:contentTypeDescription="Create a new document." ma:contentTypeScope="" ma:versionID="732608af30740d305ec82a22451020c6">
  <xsd:schema xmlns:xsd="http://www.w3.org/2001/XMLSchema" xmlns:xs="http://www.w3.org/2001/XMLSchema" xmlns:p="http://schemas.microsoft.com/office/2006/metadata/properties" xmlns:ns3="2839e594-ec5a-45bb-8e7c-775dd6af783c" xmlns:ns4="520b25a4-95d6-4038-bc15-a7e0b3fbfb17" targetNamespace="http://schemas.microsoft.com/office/2006/metadata/properties" ma:root="true" ma:fieldsID="32fcdaefb7ec8eba596c1fe557f00d6d" ns3:_="" ns4:_="">
    <xsd:import namespace="2839e594-ec5a-45bb-8e7c-775dd6af783c"/>
    <xsd:import namespace="520b25a4-95d6-4038-bc15-a7e0b3fbfb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9e594-ec5a-45bb-8e7c-775dd6af7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b25a4-95d6-4038-bc15-a7e0b3fbfb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EDA43-0BA6-46FE-BC2E-2771E2BD23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2170F2-0F99-4E3D-9A8A-BBA4D8BCE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9e594-ec5a-45bb-8e7c-775dd6af783c"/>
    <ds:schemaRef ds:uri="520b25a4-95d6-4038-bc15-a7e0b3fbf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4F1BD-2551-481A-8BA7-7CE7093E3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5478</Words>
  <Characters>31230</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36635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Smith</dc:creator>
  <cp:keywords/>
  <dc:description/>
  <cp:lastModifiedBy>Chris Brooker</cp:lastModifiedBy>
  <cp:revision>2</cp:revision>
  <cp:lastPrinted>2020-11-24T21:39:00Z</cp:lastPrinted>
  <dcterms:created xsi:type="dcterms:W3CDTF">2021-10-01T04:29:00Z</dcterms:created>
  <dcterms:modified xsi:type="dcterms:W3CDTF">2021-10-01T04:29:00Z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0x010100C3B1AECC73C6D34AA5F5CCA114083AF0</vt:lpwstr>
  </property>
</Properties>
</file>